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84D87" w14:textId="77777777" w:rsidR="004E7599" w:rsidRDefault="004E7599" w:rsidP="004E7599">
      <w:pPr>
        <w:spacing w:line="360" w:lineRule="auto"/>
        <w:jc w:val="both"/>
      </w:pPr>
      <w:bookmarkStart w:id="0" w:name="_GoBack"/>
      <w:r>
        <w:rPr>
          <w:noProof/>
        </w:rPr>
        <w:drawing>
          <wp:anchor distT="152400" distB="152400" distL="152400" distR="152400" simplePos="0" relativeHeight="251659264" behindDoc="1" locked="0" layoutInCell="0" allowOverlap="1" wp14:anchorId="2E4F3BFD" wp14:editId="30BD28C9">
            <wp:simplePos x="0" y="0"/>
            <wp:positionH relativeFrom="margin">
              <wp:posOffset>-488950</wp:posOffset>
            </wp:positionH>
            <wp:positionV relativeFrom="paragraph">
              <wp:posOffset>52070</wp:posOffset>
            </wp:positionV>
            <wp:extent cx="927100" cy="847725"/>
            <wp:effectExtent l="0" t="0" r="635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100" cy="847725"/>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lang w:val="en-CA"/>
        </w:rPr>
        <w:fldChar w:fldCharType="begin"/>
      </w:r>
      <w:r>
        <w:rPr>
          <w:sz w:val="24"/>
          <w:szCs w:val="24"/>
          <w:lang w:val="en-CA"/>
        </w:rPr>
        <w:instrText xml:space="preserve"> SEQ CHAPTER \h \r 1</w:instrText>
      </w:r>
      <w:r>
        <w:rPr>
          <w:sz w:val="24"/>
          <w:szCs w:val="24"/>
          <w:lang w:val="en-CA"/>
        </w:rPr>
        <w:fldChar w:fldCharType="end"/>
      </w:r>
    </w:p>
    <w:bookmarkEnd w:id="0"/>
    <w:p w14:paraId="55930D22" w14:textId="77777777" w:rsidR="004E7599" w:rsidRDefault="004E7599" w:rsidP="004E7599">
      <w:pPr>
        <w:jc w:val="center"/>
        <w:rPr>
          <w:sz w:val="22"/>
          <w:szCs w:val="22"/>
        </w:rPr>
      </w:pPr>
      <w:r>
        <w:rPr>
          <w:sz w:val="22"/>
          <w:szCs w:val="22"/>
        </w:rPr>
        <w:t>United States of America</w:t>
      </w:r>
    </w:p>
    <w:p w14:paraId="056BAA12" w14:textId="77777777" w:rsidR="004E7599" w:rsidRDefault="004E7599" w:rsidP="004E7599">
      <w:pPr>
        <w:ind w:firstLine="720"/>
        <w:jc w:val="center"/>
        <w:rPr>
          <w:sz w:val="22"/>
          <w:szCs w:val="22"/>
        </w:rPr>
      </w:pPr>
      <w:r>
        <w:rPr>
          <w:b/>
          <w:bCs/>
          <w:sz w:val="22"/>
          <w:szCs w:val="22"/>
        </w:rPr>
        <w:t>OCCUPATIONAL SAFETY AND HEALTH REVIEW COMMISSION</w:t>
      </w:r>
    </w:p>
    <w:p w14:paraId="0E682A6A" w14:textId="77777777" w:rsidR="004E7599" w:rsidRDefault="004E7599" w:rsidP="004E7599">
      <w:pPr>
        <w:jc w:val="center"/>
      </w:pPr>
      <w:r>
        <w:t>1120 20th Street, N.W., Ninth Floor</w:t>
      </w:r>
    </w:p>
    <w:p w14:paraId="4D2FEEFC" w14:textId="77777777" w:rsidR="004E7599" w:rsidRDefault="004E7599" w:rsidP="004E7599">
      <w:pPr>
        <w:jc w:val="center"/>
      </w:pPr>
      <w:r>
        <w:t>Washington, DC 20036-3457</w:t>
      </w:r>
    </w:p>
    <w:p w14:paraId="42F02884" w14:textId="77777777" w:rsidR="004E7599" w:rsidRDefault="004E7599" w:rsidP="004E7599"/>
    <w:tbl>
      <w:tblPr>
        <w:tblW w:w="0" w:type="auto"/>
        <w:tblInd w:w="110" w:type="dxa"/>
        <w:tblLayout w:type="fixed"/>
        <w:tblCellMar>
          <w:left w:w="110" w:type="dxa"/>
          <w:right w:w="110" w:type="dxa"/>
        </w:tblCellMar>
        <w:tblLook w:val="0000" w:firstRow="0" w:lastRow="0" w:firstColumn="0" w:lastColumn="0" w:noHBand="0" w:noVBand="0"/>
      </w:tblPr>
      <w:tblGrid>
        <w:gridCol w:w="4680"/>
        <w:gridCol w:w="4680"/>
      </w:tblGrid>
      <w:tr w:rsidR="00D05B33" w14:paraId="72AEB681" w14:textId="77777777" w:rsidTr="00825521">
        <w:trPr>
          <w:cantSplit/>
        </w:trPr>
        <w:tc>
          <w:tcPr>
            <w:tcW w:w="4680" w:type="dxa"/>
            <w:tcBorders>
              <w:top w:val="single" w:sz="6" w:space="0" w:color="000000"/>
              <w:left w:val="nil"/>
              <w:bottom w:val="nil"/>
              <w:right w:val="dashSmallGap" w:sz="6" w:space="0" w:color="000000"/>
            </w:tcBorders>
          </w:tcPr>
          <w:p w14:paraId="7DC906F2" w14:textId="77777777" w:rsidR="00D05B33" w:rsidRPr="00615D0F" w:rsidRDefault="00D05B33" w:rsidP="00825521">
            <w:pPr>
              <w:spacing w:before="115" w:after="52" w:line="360" w:lineRule="auto"/>
              <w:rPr>
                <w:sz w:val="24"/>
                <w:szCs w:val="24"/>
              </w:rPr>
            </w:pPr>
            <w:r w:rsidRPr="00615D0F">
              <w:rPr>
                <w:bCs/>
                <w:sz w:val="24"/>
                <w:szCs w:val="24"/>
              </w:rPr>
              <w:t>SECRETARY OF LABOR,</w:t>
            </w:r>
          </w:p>
        </w:tc>
        <w:tc>
          <w:tcPr>
            <w:tcW w:w="4680" w:type="dxa"/>
            <w:tcBorders>
              <w:top w:val="nil"/>
              <w:left w:val="nil"/>
              <w:bottom w:val="nil"/>
              <w:right w:val="nil"/>
            </w:tcBorders>
          </w:tcPr>
          <w:p w14:paraId="241C7484" w14:textId="77777777" w:rsidR="00D05B33" w:rsidRDefault="00D05B33" w:rsidP="00825521">
            <w:pPr>
              <w:spacing w:before="115" w:after="52" w:line="360" w:lineRule="auto"/>
              <w:rPr>
                <w:sz w:val="24"/>
                <w:szCs w:val="24"/>
              </w:rPr>
            </w:pPr>
          </w:p>
        </w:tc>
      </w:tr>
      <w:tr w:rsidR="00D05B33" w14:paraId="07A486F2" w14:textId="77777777" w:rsidTr="00825521">
        <w:trPr>
          <w:cantSplit/>
        </w:trPr>
        <w:tc>
          <w:tcPr>
            <w:tcW w:w="4680" w:type="dxa"/>
            <w:tcBorders>
              <w:top w:val="nil"/>
              <w:left w:val="nil"/>
              <w:bottom w:val="nil"/>
              <w:right w:val="dashSmallGap" w:sz="6" w:space="0" w:color="000000"/>
            </w:tcBorders>
          </w:tcPr>
          <w:p w14:paraId="339C68CD" w14:textId="77777777" w:rsidR="00D05B33" w:rsidRPr="00615D0F" w:rsidRDefault="00D05B33" w:rsidP="00825521">
            <w:pPr>
              <w:spacing w:before="115" w:after="52" w:line="360" w:lineRule="auto"/>
              <w:jc w:val="center"/>
              <w:rPr>
                <w:sz w:val="24"/>
                <w:szCs w:val="24"/>
              </w:rPr>
            </w:pPr>
            <w:r w:rsidRPr="00615D0F">
              <w:rPr>
                <w:bCs/>
                <w:sz w:val="24"/>
                <w:szCs w:val="24"/>
              </w:rPr>
              <w:t>Complainant,</w:t>
            </w:r>
          </w:p>
        </w:tc>
        <w:tc>
          <w:tcPr>
            <w:tcW w:w="4680" w:type="dxa"/>
            <w:tcBorders>
              <w:top w:val="nil"/>
              <w:left w:val="nil"/>
              <w:bottom w:val="nil"/>
              <w:right w:val="nil"/>
            </w:tcBorders>
          </w:tcPr>
          <w:p w14:paraId="126D56B8" w14:textId="77777777" w:rsidR="00D05B33" w:rsidRDefault="00D05B33" w:rsidP="00825521">
            <w:pPr>
              <w:spacing w:before="115" w:after="52" w:line="360" w:lineRule="auto"/>
              <w:rPr>
                <w:sz w:val="24"/>
                <w:szCs w:val="24"/>
              </w:rPr>
            </w:pPr>
          </w:p>
        </w:tc>
      </w:tr>
      <w:tr w:rsidR="00D05B33" w14:paraId="5EC8D84C" w14:textId="77777777" w:rsidTr="00825521">
        <w:trPr>
          <w:cantSplit/>
        </w:trPr>
        <w:tc>
          <w:tcPr>
            <w:tcW w:w="4680" w:type="dxa"/>
            <w:tcBorders>
              <w:top w:val="nil"/>
              <w:left w:val="nil"/>
              <w:bottom w:val="nil"/>
              <w:right w:val="dashSmallGap" w:sz="6" w:space="0" w:color="000000"/>
            </w:tcBorders>
          </w:tcPr>
          <w:p w14:paraId="4DD9AAEF" w14:textId="77777777" w:rsidR="00D05B33" w:rsidRPr="00615D0F" w:rsidRDefault="00D05B33" w:rsidP="00825521">
            <w:pPr>
              <w:spacing w:before="115" w:after="52" w:line="360" w:lineRule="auto"/>
              <w:jc w:val="center"/>
              <w:rPr>
                <w:sz w:val="24"/>
                <w:szCs w:val="24"/>
              </w:rPr>
            </w:pPr>
            <w:r w:rsidRPr="00615D0F">
              <w:rPr>
                <w:bCs/>
                <w:sz w:val="24"/>
                <w:szCs w:val="24"/>
              </w:rPr>
              <w:t>v.</w:t>
            </w:r>
          </w:p>
        </w:tc>
        <w:tc>
          <w:tcPr>
            <w:tcW w:w="4680" w:type="dxa"/>
            <w:tcBorders>
              <w:top w:val="nil"/>
              <w:left w:val="nil"/>
              <w:bottom w:val="nil"/>
              <w:right w:val="nil"/>
            </w:tcBorders>
          </w:tcPr>
          <w:p w14:paraId="327F756E" w14:textId="77777777" w:rsidR="00D05B33" w:rsidRPr="00615D0F" w:rsidRDefault="00D05B33" w:rsidP="00825521">
            <w:pPr>
              <w:spacing w:before="115" w:line="360" w:lineRule="auto"/>
              <w:rPr>
                <w:sz w:val="24"/>
                <w:szCs w:val="24"/>
              </w:rPr>
            </w:pPr>
            <w:r>
              <w:rPr>
                <w:b/>
                <w:bCs/>
                <w:sz w:val="24"/>
                <w:szCs w:val="24"/>
              </w:rPr>
              <w:t xml:space="preserve">  </w:t>
            </w:r>
            <w:r w:rsidRPr="00615D0F">
              <w:rPr>
                <w:bCs/>
                <w:sz w:val="24"/>
                <w:szCs w:val="24"/>
              </w:rPr>
              <w:t xml:space="preserve">OSHRC DOCKET NO. </w:t>
            </w:r>
          </w:p>
        </w:tc>
      </w:tr>
      <w:tr w:rsidR="00D05B33" w14:paraId="00D6D9AA" w14:textId="77777777" w:rsidTr="00825521">
        <w:trPr>
          <w:cantSplit/>
        </w:trPr>
        <w:tc>
          <w:tcPr>
            <w:tcW w:w="4680" w:type="dxa"/>
            <w:tcBorders>
              <w:top w:val="nil"/>
              <w:left w:val="nil"/>
              <w:bottom w:val="nil"/>
              <w:right w:val="dashSmallGap" w:sz="6" w:space="0" w:color="000000"/>
            </w:tcBorders>
          </w:tcPr>
          <w:p w14:paraId="5A1EC58F" w14:textId="77777777" w:rsidR="00D05B33" w:rsidRPr="00615D0F" w:rsidRDefault="00D05B33" w:rsidP="00825521">
            <w:pPr>
              <w:spacing w:before="115" w:after="52"/>
              <w:contextualSpacing/>
              <w:rPr>
                <w:sz w:val="24"/>
                <w:szCs w:val="24"/>
              </w:rPr>
            </w:pPr>
          </w:p>
        </w:tc>
        <w:tc>
          <w:tcPr>
            <w:tcW w:w="4680" w:type="dxa"/>
            <w:tcBorders>
              <w:top w:val="nil"/>
              <w:left w:val="nil"/>
              <w:bottom w:val="nil"/>
              <w:right w:val="nil"/>
            </w:tcBorders>
          </w:tcPr>
          <w:p w14:paraId="698DD2A4" w14:textId="77777777" w:rsidR="00D05B33" w:rsidRPr="002B3520" w:rsidRDefault="00D05B33" w:rsidP="00825521">
            <w:pPr>
              <w:spacing w:before="115" w:after="52" w:line="360" w:lineRule="auto"/>
              <w:rPr>
                <w:b/>
                <w:sz w:val="24"/>
                <w:szCs w:val="24"/>
              </w:rPr>
            </w:pPr>
            <w:r>
              <w:rPr>
                <w:sz w:val="24"/>
                <w:szCs w:val="24"/>
              </w:rPr>
              <w:t xml:space="preserve">    </w:t>
            </w:r>
          </w:p>
        </w:tc>
      </w:tr>
      <w:tr w:rsidR="00D05B33" w14:paraId="2E16A0D2" w14:textId="77777777" w:rsidTr="00825521">
        <w:trPr>
          <w:cantSplit/>
        </w:trPr>
        <w:tc>
          <w:tcPr>
            <w:tcW w:w="4680" w:type="dxa"/>
            <w:tcBorders>
              <w:top w:val="nil"/>
              <w:left w:val="nil"/>
              <w:bottom w:val="single" w:sz="6" w:space="0" w:color="000000"/>
              <w:right w:val="dashSmallGap" w:sz="6" w:space="0" w:color="000000"/>
            </w:tcBorders>
          </w:tcPr>
          <w:p w14:paraId="4D68FA71" w14:textId="77777777" w:rsidR="00D05B33" w:rsidRPr="006673C2" w:rsidRDefault="00D05B33" w:rsidP="00825521">
            <w:pPr>
              <w:spacing w:before="115" w:after="52" w:line="360" w:lineRule="auto"/>
              <w:rPr>
                <w:sz w:val="24"/>
                <w:szCs w:val="24"/>
              </w:rPr>
            </w:pPr>
            <w:r>
              <w:rPr>
                <w:sz w:val="24"/>
                <w:szCs w:val="24"/>
              </w:rPr>
              <w:t xml:space="preserve">                          Respondent.</w:t>
            </w:r>
          </w:p>
        </w:tc>
        <w:tc>
          <w:tcPr>
            <w:tcW w:w="4680" w:type="dxa"/>
            <w:tcBorders>
              <w:top w:val="nil"/>
              <w:left w:val="nil"/>
              <w:bottom w:val="nil"/>
              <w:right w:val="nil"/>
            </w:tcBorders>
          </w:tcPr>
          <w:p w14:paraId="4F5C96EB" w14:textId="77777777" w:rsidR="00D05B33" w:rsidRDefault="00D05B33" w:rsidP="00825521">
            <w:pPr>
              <w:spacing w:before="115" w:after="52" w:line="360" w:lineRule="auto"/>
              <w:rPr>
                <w:sz w:val="24"/>
                <w:szCs w:val="24"/>
              </w:rPr>
            </w:pPr>
          </w:p>
        </w:tc>
      </w:tr>
    </w:tbl>
    <w:p w14:paraId="74AC4DB6" w14:textId="78AA334F" w:rsidR="004E7599" w:rsidRDefault="004E7599" w:rsidP="004E7599">
      <w:pPr>
        <w:jc w:val="center"/>
      </w:pPr>
    </w:p>
    <w:p w14:paraId="5B991447" w14:textId="77777777" w:rsidR="004E7599" w:rsidRPr="008F5FF8" w:rsidRDefault="004E7599" w:rsidP="00F819CF">
      <w:pPr>
        <w:spacing w:after="240" w:line="360" w:lineRule="auto"/>
        <w:jc w:val="center"/>
        <w:rPr>
          <w:b/>
          <w:sz w:val="24"/>
          <w:szCs w:val="24"/>
          <w:u w:val="single"/>
        </w:rPr>
      </w:pPr>
      <w:bookmarkStart w:id="1" w:name="2"/>
      <w:bookmarkEnd w:id="1"/>
      <w:r w:rsidRPr="008F5FF8">
        <w:rPr>
          <w:b/>
          <w:sz w:val="24"/>
          <w:szCs w:val="24"/>
          <w:u w:val="single"/>
        </w:rPr>
        <w:t>ORDER TERMINATING PROCEEDING</w:t>
      </w:r>
    </w:p>
    <w:p w14:paraId="1AABBBCA" w14:textId="77777777" w:rsidR="004E7599" w:rsidRPr="00D05B33" w:rsidRDefault="004E7599" w:rsidP="008F5FF8">
      <w:pPr>
        <w:spacing w:line="360" w:lineRule="auto"/>
        <w:ind w:firstLine="720"/>
        <w:jc w:val="both"/>
        <w:rPr>
          <w:sz w:val="24"/>
          <w:szCs w:val="24"/>
        </w:rPr>
      </w:pPr>
      <w:r w:rsidRPr="00D05B33">
        <w:rPr>
          <w:sz w:val="24"/>
          <w:szCs w:val="24"/>
        </w:rPr>
        <w:t>The parties have filed a joint Notification of Settlement acknowledging that the parties have resolved all contested citation items and agreed to terminate the proceeding before the Commission in the above captioned case.</w:t>
      </w:r>
    </w:p>
    <w:p w14:paraId="494FFF9C" w14:textId="607D1915" w:rsidR="004E7599" w:rsidRPr="00D05B33" w:rsidRDefault="004E7599" w:rsidP="008F5FF8">
      <w:pPr>
        <w:spacing w:line="360" w:lineRule="auto"/>
        <w:ind w:firstLine="720"/>
        <w:jc w:val="both"/>
        <w:rPr>
          <w:sz w:val="24"/>
          <w:szCs w:val="24"/>
        </w:rPr>
      </w:pPr>
      <w:r w:rsidRPr="00D05B33">
        <w:rPr>
          <w:sz w:val="24"/>
          <w:szCs w:val="24"/>
        </w:rPr>
        <w:t xml:space="preserve"> IT IS THEREFORE ORDERED that this proceeding is TERMINATED pursuant to Commission Rule 100(b)(3)</w:t>
      </w:r>
      <w:r w:rsidR="00331BFD" w:rsidRPr="00D05B33">
        <w:rPr>
          <w:sz w:val="24"/>
          <w:szCs w:val="24"/>
        </w:rPr>
        <w:t>;</w:t>
      </w:r>
      <w:r w:rsidRPr="00D05B33">
        <w:rPr>
          <w:sz w:val="24"/>
          <w:szCs w:val="24"/>
        </w:rPr>
        <w:t xml:space="preserve"> </w:t>
      </w:r>
      <w:r w:rsidR="00331BFD" w:rsidRPr="00D05B33">
        <w:rPr>
          <w:sz w:val="24"/>
          <w:szCs w:val="24"/>
        </w:rPr>
        <w:t>100</w:t>
      </w:r>
      <w:r w:rsidRPr="00D05B33">
        <w:rPr>
          <w:sz w:val="24"/>
          <w:szCs w:val="24"/>
        </w:rPr>
        <w:t>(c</w:t>
      </w:r>
      <w:r w:rsidR="000C6A7B" w:rsidRPr="00D05B33">
        <w:rPr>
          <w:sz w:val="24"/>
          <w:szCs w:val="24"/>
        </w:rPr>
        <w:t>).</w:t>
      </w:r>
      <w:r w:rsidR="000C6A7B" w:rsidRPr="00D05B33">
        <w:rPr>
          <w:rStyle w:val="FootnoteReference"/>
          <w:sz w:val="24"/>
          <w:szCs w:val="24"/>
        </w:rPr>
        <w:footnoteReference w:id="1"/>
      </w:r>
      <w:r w:rsidRPr="00D05B33">
        <w:rPr>
          <w:sz w:val="24"/>
          <w:szCs w:val="24"/>
        </w:rPr>
        <w:t xml:space="preserve"> </w:t>
      </w:r>
    </w:p>
    <w:p w14:paraId="1D0DEB9A" w14:textId="77777777" w:rsidR="004E7599" w:rsidRPr="00D05B33" w:rsidRDefault="004E7599">
      <w:pPr>
        <w:widowControl w:val="0"/>
        <w:spacing w:line="360" w:lineRule="auto"/>
        <w:ind w:firstLine="720"/>
        <w:jc w:val="both"/>
        <w:rPr>
          <w:sz w:val="24"/>
          <w:szCs w:val="24"/>
        </w:rPr>
      </w:pPr>
      <w:r w:rsidRPr="00D05B33">
        <w:rPr>
          <w:sz w:val="24"/>
          <w:szCs w:val="24"/>
        </w:rPr>
        <w:t>This Order Terminating Proceeding shall become a final Order of the Commission thirty (30) days from the date of its docketing by the Executive Secretary, unless a Commission Member directs re</w:t>
      </w:r>
      <w:r w:rsidRPr="00D05B33">
        <w:rPr>
          <w:sz w:val="24"/>
          <w:szCs w:val="24"/>
        </w:rPr>
        <w:softHyphen/>
        <w:t xml:space="preserve">view of the order within that time.  </w:t>
      </w:r>
      <w:r w:rsidRPr="00D05B33">
        <w:rPr>
          <w:i/>
          <w:sz w:val="24"/>
          <w:szCs w:val="24"/>
        </w:rPr>
        <w:t>See</w:t>
      </w:r>
      <w:r w:rsidRPr="00D05B33">
        <w:rPr>
          <w:sz w:val="24"/>
          <w:szCs w:val="24"/>
        </w:rPr>
        <w:t xml:space="preserve"> 29 U.S.C. § 661(j); Commission Rule 90(f</w:t>
      </w:r>
      <w:r w:rsidR="000C6A7B" w:rsidRPr="00D05B33">
        <w:rPr>
          <w:sz w:val="24"/>
          <w:szCs w:val="24"/>
        </w:rPr>
        <w:t>).</w:t>
      </w:r>
      <w:r w:rsidRPr="00D05B33">
        <w:rPr>
          <w:sz w:val="24"/>
          <w:szCs w:val="24"/>
        </w:rPr>
        <w:t xml:space="preserve"> </w:t>
      </w:r>
    </w:p>
    <w:p w14:paraId="31B3F32D" w14:textId="77777777" w:rsidR="004E7599" w:rsidRPr="00D05B33" w:rsidRDefault="004E7599" w:rsidP="00F819CF">
      <w:pPr>
        <w:widowControl w:val="0"/>
        <w:spacing w:before="240" w:line="360" w:lineRule="auto"/>
        <w:ind w:firstLine="720"/>
        <w:rPr>
          <w:sz w:val="24"/>
          <w:szCs w:val="24"/>
        </w:rPr>
      </w:pPr>
      <w:proofErr w:type="gramStart"/>
      <w:r w:rsidRPr="00D05B33">
        <w:rPr>
          <w:sz w:val="24"/>
          <w:szCs w:val="24"/>
        </w:rPr>
        <w:t>SO</w:t>
      </w:r>
      <w:proofErr w:type="gramEnd"/>
      <w:r w:rsidRPr="00D05B33">
        <w:rPr>
          <w:sz w:val="24"/>
          <w:szCs w:val="24"/>
        </w:rPr>
        <w:t xml:space="preserve"> ORDERED.</w:t>
      </w:r>
    </w:p>
    <w:p w14:paraId="5F84CD47" w14:textId="77777777" w:rsidR="004E7599" w:rsidRPr="00D05B33" w:rsidRDefault="004E7599" w:rsidP="004E7599">
      <w:pPr>
        <w:widowControl w:val="0"/>
        <w:spacing w:line="360" w:lineRule="auto"/>
        <w:rPr>
          <w:sz w:val="24"/>
          <w:szCs w:val="24"/>
        </w:rPr>
      </w:pPr>
      <w:r w:rsidRPr="00D05B33">
        <w:rPr>
          <w:sz w:val="24"/>
          <w:szCs w:val="24"/>
        </w:rPr>
        <w:tab/>
      </w:r>
      <w:r w:rsidRPr="00D05B33">
        <w:rPr>
          <w:sz w:val="24"/>
          <w:szCs w:val="24"/>
        </w:rPr>
        <w:tab/>
      </w:r>
      <w:r w:rsidRPr="00D05B33">
        <w:rPr>
          <w:sz w:val="24"/>
          <w:szCs w:val="24"/>
        </w:rPr>
        <w:tab/>
      </w:r>
      <w:r w:rsidRPr="00D05B33">
        <w:rPr>
          <w:sz w:val="24"/>
          <w:szCs w:val="24"/>
        </w:rPr>
        <w:tab/>
      </w:r>
      <w:r w:rsidRPr="00D05B33">
        <w:rPr>
          <w:sz w:val="24"/>
          <w:szCs w:val="24"/>
        </w:rPr>
        <w:tab/>
      </w:r>
      <w:r w:rsidRPr="00D05B33">
        <w:rPr>
          <w:sz w:val="24"/>
          <w:szCs w:val="24"/>
        </w:rPr>
        <w:tab/>
      </w:r>
      <w:r w:rsidRPr="00D05B33">
        <w:rPr>
          <w:sz w:val="24"/>
          <w:szCs w:val="24"/>
        </w:rPr>
        <w:tab/>
      </w:r>
    </w:p>
    <w:p w14:paraId="04C40506" w14:textId="77777777" w:rsidR="004E7599" w:rsidRPr="00D05B33" w:rsidRDefault="004E7599" w:rsidP="004E7599">
      <w:pPr>
        <w:widowControl w:val="0"/>
        <w:rPr>
          <w:sz w:val="24"/>
          <w:szCs w:val="24"/>
        </w:rPr>
      </w:pPr>
      <w:r w:rsidRPr="00D05B33">
        <w:rPr>
          <w:sz w:val="24"/>
          <w:szCs w:val="24"/>
        </w:rPr>
        <w:t>Dated:</w:t>
      </w:r>
      <w:r w:rsidRPr="00D05B33">
        <w:rPr>
          <w:sz w:val="24"/>
          <w:szCs w:val="24"/>
        </w:rPr>
        <w:tab/>
      </w:r>
      <w:r w:rsidRPr="00D05B33">
        <w:rPr>
          <w:sz w:val="24"/>
          <w:szCs w:val="24"/>
        </w:rPr>
        <w:tab/>
      </w:r>
      <w:r w:rsidRPr="00D05B33">
        <w:rPr>
          <w:sz w:val="24"/>
          <w:szCs w:val="24"/>
        </w:rPr>
        <w:tab/>
      </w:r>
      <w:r w:rsidRPr="00D05B33">
        <w:rPr>
          <w:sz w:val="24"/>
          <w:szCs w:val="24"/>
        </w:rPr>
        <w:tab/>
      </w:r>
      <w:r w:rsidRPr="00D05B33">
        <w:rPr>
          <w:sz w:val="24"/>
          <w:szCs w:val="24"/>
        </w:rPr>
        <w:tab/>
      </w:r>
      <w:r w:rsidRPr="00D05B33">
        <w:rPr>
          <w:sz w:val="24"/>
          <w:szCs w:val="24"/>
        </w:rPr>
        <w:tab/>
      </w:r>
      <w:r w:rsidRPr="00D05B33">
        <w:rPr>
          <w:sz w:val="24"/>
          <w:szCs w:val="24"/>
        </w:rPr>
        <w:tab/>
        <w:t>____________________________</w:t>
      </w:r>
    </w:p>
    <w:p w14:paraId="6F015DB1" w14:textId="24B90C4B" w:rsidR="00795CD8" w:rsidRPr="00D05B33" w:rsidRDefault="004E7599" w:rsidP="004E7599">
      <w:pPr>
        <w:widowControl w:val="0"/>
        <w:rPr>
          <w:sz w:val="24"/>
          <w:szCs w:val="24"/>
        </w:rPr>
      </w:pPr>
      <w:r w:rsidRPr="00D05B33">
        <w:rPr>
          <w:sz w:val="24"/>
          <w:szCs w:val="24"/>
        </w:rPr>
        <w:t>Washington, DC.</w:t>
      </w:r>
      <w:r w:rsidRPr="00D05B33">
        <w:rPr>
          <w:sz w:val="24"/>
          <w:szCs w:val="24"/>
        </w:rPr>
        <w:tab/>
      </w:r>
      <w:r w:rsidRPr="00D05B33">
        <w:rPr>
          <w:sz w:val="24"/>
          <w:szCs w:val="24"/>
        </w:rPr>
        <w:tab/>
      </w:r>
      <w:r w:rsidRPr="00D05B33">
        <w:rPr>
          <w:sz w:val="24"/>
          <w:szCs w:val="24"/>
        </w:rPr>
        <w:tab/>
      </w:r>
      <w:r w:rsidRPr="00D05B33">
        <w:rPr>
          <w:sz w:val="24"/>
          <w:szCs w:val="24"/>
        </w:rPr>
        <w:tab/>
      </w:r>
      <w:r w:rsidRPr="00D05B33">
        <w:rPr>
          <w:sz w:val="24"/>
          <w:szCs w:val="24"/>
        </w:rPr>
        <w:tab/>
        <w:t>Judge, OSHRC</w:t>
      </w:r>
    </w:p>
    <w:p w14:paraId="6A196D2A" w14:textId="4334E3A5" w:rsidR="00795CD8" w:rsidRPr="00D05B33" w:rsidRDefault="00795CD8">
      <w:pPr>
        <w:autoSpaceDE/>
        <w:autoSpaceDN/>
        <w:adjustRightInd/>
        <w:spacing w:after="160" w:line="259" w:lineRule="auto"/>
        <w:rPr>
          <w:sz w:val="24"/>
          <w:szCs w:val="24"/>
        </w:rPr>
      </w:pPr>
    </w:p>
    <w:p w14:paraId="1CC3F5CA" w14:textId="77777777" w:rsidR="004E7599" w:rsidRPr="00D05B33" w:rsidRDefault="004E7599" w:rsidP="004E7599">
      <w:pPr>
        <w:widowControl w:val="0"/>
        <w:rPr>
          <w:sz w:val="24"/>
          <w:szCs w:val="24"/>
        </w:rPr>
      </w:pPr>
    </w:p>
    <w:p w14:paraId="22743714" w14:textId="03907E9D" w:rsidR="00220E68" w:rsidRDefault="00220E68">
      <w:pPr>
        <w:autoSpaceDE/>
        <w:autoSpaceDN/>
        <w:adjustRightInd/>
        <w:spacing w:after="160" w:line="259" w:lineRule="auto"/>
        <w:rPr>
          <w:sz w:val="24"/>
          <w:szCs w:val="24"/>
        </w:rPr>
      </w:pPr>
      <w:r>
        <w:rPr>
          <w:sz w:val="24"/>
          <w:szCs w:val="24"/>
        </w:rPr>
        <w:br w:type="page"/>
      </w:r>
    </w:p>
    <w:p w14:paraId="2A703DAD" w14:textId="77777777" w:rsidR="004E7599" w:rsidRPr="008F5FF8" w:rsidRDefault="004E7599" w:rsidP="004E7599">
      <w:pPr>
        <w:jc w:val="center"/>
        <w:rPr>
          <w:rFonts w:eastAsia="Times New Roman"/>
          <w:b/>
          <w:sz w:val="24"/>
        </w:rPr>
      </w:pPr>
      <w:r w:rsidRPr="008F5FF8">
        <w:rPr>
          <w:rFonts w:eastAsia="Times New Roman"/>
          <w:b/>
          <w:sz w:val="24"/>
        </w:rPr>
        <w:lastRenderedPageBreak/>
        <w:t>CERTIFICATE OF SERVICE</w:t>
      </w:r>
    </w:p>
    <w:p w14:paraId="2EFAD8E9" w14:textId="77777777" w:rsidR="004E7599" w:rsidRPr="008F5FF8" w:rsidRDefault="004E7599" w:rsidP="004E7599">
      <w:pPr>
        <w:rPr>
          <w:rFonts w:eastAsia="Times New Roman"/>
          <w:b/>
          <w:sz w:val="24"/>
        </w:rPr>
      </w:pPr>
    </w:p>
    <w:p w14:paraId="68602BEC" w14:textId="77777777" w:rsidR="004E7599" w:rsidRPr="00D05B33" w:rsidRDefault="004E7599" w:rsidP="004E7599">
      <w:pPr>
        <w:spacing w:line="360" w:lineRule="auto"/>
        <w:rPr>
          <w:rFonts w:eastAsia="Times New Roman"/>
          <w:sz w:val="24"/>
        </w:rPr>
      </w:pPr>
      <w:r w:rsidRPr="00D05B33">
        <w:rPr>
          <w:rFonts w:eastAsia="Times New Roman"/>
          <w:b/>
          <w:sz w:val="24"/>
        </w:rPr>
        <w:tab/>
      </w:r>
      <w:r w:rsidRPr="00D05B33">
        <w:rPr>
          <w:rFonts w:eastAsia="Times New Roman"/>
          <w:sz w:val="24"/>
        </w:rPr>
        <w:t xml:space="preserve">This is to certify that a copy of the Order Terminating Proceeding was sent electronically to the parties listed below on </w:t>
      </w:r>
      <w:r w:rsidRPr="00D05B33">
        <w:rPr>
          <w:rFonts w:eastAsia="Times New Roman"/>
          <w:b/>
          <w:sz w:val="24"/>
          <w:szCs w:val="24"/>
        </w:rPr>
        <w:t>[date]</w:t>
      </w:r>
      <w:r w:rsidRPr="00D05B33">
        <w:rPr>
          <w:rFonts w:eastAsia="Times New Roman"/>
          <w:b/>
          <w:sz w:val="24"/>
        </w:rPr>
        <w:t>.</w:t>
      </w:r>
    </w:p>
    <w:p w14:paraId="4C81EF4D" w14:textId="77777777" w:rsidR="004E7599" w:rsidRPr="00D05B33" w:rsidRDefault="004E7599" w:rsidP="004E7599">
      <w:pPr>
        <w:tabs>
          <w:tab w:val="left" w:pos="187"/>
          <w:tab w:val="left" w:pos="5760"/>
          <w:tab w:val="center" w:pos="7290"/>
        </w:tabs>
        <w:spacing w:line="360" w:lineRule="auto"/>
        <w:rPr>
          <w:rFonts w:eastAsia="Times New Roman"/>
          <w:sz w:val="24"/>
        </w:rPr>
      </w:pPr>
    </w:p>
    <w:p w14:paraId="2FC62C66" w14:textId="77777777" w:rsidR="004E7599" w:rsidRPr="008F5FF8" w:rsidRDefault="004E7599" w:rsidP="004E7599">
      <w:pPr>
        <w:tabs>
          <w:tab w:val="left" w:pos="181"/>
        </w:tabs>
        <w:rPr>
          <w:rFonts w:eastAsia="Times New Roman"/>
          <w:sz w:val="24"/>
        </w:rPr>
      </w:pPr>
    </w:p>
    <w:p w14:paraId="60A20D35" w14:textId="77777777" w:rsidR="004E7599" w:rsidRPr="008F5FF8" w:rsidRDefault="004E7599" w:rsidP="004E7599">
      <w:pPr>
        <w:tabs>
          <w:tab w:val="left" w:pos="181"/>
          <w:tab w:val="left" w:pos="3327"/>
        </w:tabs>
        <w:rPr>
          <w:rFonts w:eastAsia="Times New Roman"/>
          <w:sz w:val="24"/>
        </w:rPr>
      </w:pPr>
      <w:r w:rsidRPr="008F5FF8">
        <w:rPr>
          <w:rFonts w:eastAsia="Times New Roman"/>
          <w:sz w:val="24"/>
        </w:rPr>
        <w:t>SOL ADDRESS</w:t>
      </w:r>
    </w:p>
    <w:p w14:paraId="43E1A762" w14:textId="77777777" w:rsidR="004E7599" w:rsidRPr="008F5FF8" w:rsidRDefault="004E7599" w:rsidP="004E7599">
      <w:pPr>
        <w:tabs>
          <w:tab w:val="left" w:pos="181"/>
          <w:tab w:val="left" w:pos="3327"/>
        </w:tabs>
        <w:rPr>
          <w:rFonts w:eastAsia="Times New Roman"/>
          <w:sz w:val="24"/>
        </w:rPr>
      </w:pPr>
    </w:p>
    <w:p w14:paraId="42DF417A" w14:textId="77777777" w:rsidR="004E7599" w:rsidRPr="008F5FF8" w:rsidRDefault="004E7599" w:rsidP="004E7599">
      <w:pPr>
        <w:tabs>
          <w:tab w:val="left" w:pos="181"/>
          <w:tab w:val="left" w:pos="3327"/>
        </w:tabs>
        <w:rPr>
          <w:rFonts w:eastAsia="Times New Roman"/>
          <w:sz w:val="24"/>
        </w:rPr>
      </w:pPr>
    </w:p>
    <w:p w14:paraId="09DFCE39" w14:textId="77777777" w:rsidR="004E7599" w:rsidRPr="008F5FF8" w:rsidRDefault="004E7599" w:rsidP="004E7599">
      <w:pPr>
        <w:tabs>
          <w:tab w:val="left" w:pos="181"/>
          <w:tab w:val="left" w:pos="3327"/>
        </w:tabs>
        <w:rPr>
          <w:rFonts w:eastAsia="Times New Roman"/>
          <w:sz w:val="24"/>
        </w:rPr>
      </w:pPr>
    </w:p>
    <w:p w14:paraId="69F71F92" w14:textId="77777777" w:rsidR="004E7599" w:rsidRPr="008F5FF8" w:rsidRDefault="004E7599" w:rsidP="004E7599">
      <w:pPr>
        <w:tabs>
          <w:tab w:val="left" w:pos="181"/>
          <w:tab w:val="left" w:pos="3327"/>
        </w:tabs>
        <w:rPr>
          <w:rFonts w:eastAsia="Times New Roman"/>
          <w:sz w:val="24"/>
        </w:rPr>
      </w:pPr>
      <w:r w:rsidRPr="008F5FF8">
        <w:rPr>
          <w:rFonts w:eastAsia="Times New Roman"/>
          <w:sz w:val="24"/>
        </w:rPr>
        <w:t>RESPONDENT</w:t>
      </w:r>
    </w:p>
    <w:p w14:paraId="48830D17" w14:textId="77777777" w:rsidR="004E7599" w:rsidRPr="008F5FF8" w:rsidRDefault="004E7599" w:rsidP="004E7599">
      <w:pPr>
        <w:rPr>
          <w:rFonts w:eastAsia="Times New Roman"/>
          <w:sz w:val="24"/>
        </w:rPr>
      </w:pPr>
    </w:p>
    <w:p w14:paraId="6699F828" w14:textId="77777777" w:rsidR="004E7599" w:rsidRPr="008F5FF8" w:rsidRDefault="004E7599" w:rsidP="004E7599">
      <w:pPr>
        <w:rPr>
          <w:rFonts w:eastAsia="Times New Roman"/>
          <w:sz w:val="24"/>
        </w:rPr>
      </w:pPr>
    </w:p>
    <w:p w14:paraId="3BD1F757" w14:textId="77777777" w:rsidR="004E7599" w:rsidRPr="00E74E1E" w:rsidRDefault="004E7599" w:rsidP="004E7599">
      <w:pPr>
        <w:rPr>
          <w:rFonts w:ascii="Dutch Roman 12pt" w:eastAsia="Times New Roman" w:hAnsi="Dutch Roman 12pt"/>
          <w:sz w:val="24"/>
        </w:rPr>
      </w:pPr>
    </w:p>
    <w:p w14:paraId="010A9229" w14:textId="77777777" w:rsidR="004E7599" w:rsidRPr="00E74E1E" w:rsidRDefault="004E7599" w:rsidP="004E7599">
      <w:pPr>
        <w:rPr>
          <w:rFonts w:ascii="Dutch Roman 12pt" w:eastAsia="Times New Roman" w:hAnsi="Dutch Roman 12pt"/>
          <w:sz w:val="24"/>
        </w:rPr>
      </w:pPr>
    </w:p>
    <w:p w14:paraId="0D95E24C" w14:textId="77777777" w:rsidR="004E7599" w:rsidRPr="00E74E1E" w:rsidRDefault="004E7599" w:rsidP="004E7599">
      <w:pPr>
        <w:rPr>
          <w:rFonts w:ascii="Dutch Roman 12pt" w:eastAsia="Times New Roman" w:hAnsi="Dutch Roman 12pt"/>
          <w:sz w:val="24"/>
        </w:rPr>
      </w:pPr>
    </w:p>
    <w:p w14:paraId="4A174850" w14:textId="77777777" w:rsidR="004E7599" w:rsidRPr="008D711D" w:rsidRDefault="004E7599" w:rsidP="004E7599">
      <w:pPr>
        <w:rPr>
          <w:rFonts w:eastAsia="Times New Roman"/>
          <w:sz w:val="24"/>
        </w:rPr>
      </w:pPr>
      <w:r w:rsidRPr="00E74E1E">
        <w:rPr>
          <w:rFonts w:ascii="Dutch Roman 12pt" w:eastAsia="Times New Roman" w:hAnsi="Dutch Roman 12pt"/>
          <w:sz w:val="24"/>
        </w:rPr>
        <w:tab/>
      </w:r>
      <w:r w:rsidRPr="00E74E1E">
        <w:rPr>
          <w:rFonts w:ascii="Dutch Roman 12pt" w:eastAsia="Times New Roman" w:hAnsi="Dutch Roman 12pt"/>
          <w:sz w:val="24"/>
        </w:rPr>
        <w:tab/>
      </w:r>
      <w:r w:rsidRPr="00E74E1E">
        <w:rPr>
          <w:rFonts w:ascii="Dutch Roman 12pt" w:eastAsia="Times New Roman" w:hAnsi="Dutch Roman 12pt"/>
          <w:sz w:val="24"/>
        </w:rPr>
        <w:tab/>
      </w:r>
      <w:r w:rsidRPr="00E74E1E">
        <w:rPr>
          <w:rFonts w:ascii="Dutch Roman 12pt" w:eastAsia="Times New Roman" w:hAnsi="Dutch Roman 12pt"/>
          <w:sz w:val="24"/>
        </w:rPr>
        <w:tab/>
      </w:r>
      <w:r w:rsidRPr="00E74E1E">
        <w:rPr>
          <w:rFonts w:ascii="Dutch Roman 12pt" w:eastAsia="Times New Roman" w:hAnsi="Dutch Roman 12pt"/>
          <w:sz w:val="24"/>
        </w:rPr>
        <w:tab/>
      </w:r>
      <w:r w:rsidRPr="008D711D">
        <w:rPr>
          <w:rFonts w:eastAsia="Times New Roman"/>
          <w:sz w:val="24"/>
        </w:rPr>
        <w:tab/>
      </w:r>
      <w:r w:rsidRPr="008D711D">
        <w:rPr>
          <w:rFonts w:eastAsia="Times New Roman"/>
          <w:sz w:val="24"/>
          <w:u w:val="single"/>
        </w:rPr>
        <w:t xml:space="preserve">  /s/</w:t>
      </w:r>
      <w:r w:rsidRPr="008D711D">
        <w:rPr>
          <w:rFonts w:eastAsia="Times New Roman"/>
          <w:sz w:val="24"/>
          <w:u w:val="single"/>
        </w:rPr>
        <w:tab/>
      </w:r>
      <w:r w:rsidRPr="008D711D">
        <w:rPr>
          <w:rFonts w:eastAsia="Times New Roman"/>
          <w:sz w:val="24"/>
          <w:u w:val="single"/>
        </w:rPr>
        <w:tab/>
        <w:t xml:space="preserve">                          </w:t>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t>, Legal Asst.</w:t>
      </w:r>
    </w:p>
    <w:p w14:paraId="7A3E0E12" w14:textId="77777777" w:rsidR="004E7599" w:rsidRPr="008D711D" w:rsidRDefault="004E7599" w:rsidP="004E7599">
      <w:pPr>
        <w:rPr>
          <w:rFonts w:eastAsia="Times New Roman"/>
          <w:sz w:val="24"/>
        </w:rPr>
      </w:pPr>
    </w:p>
    <w:p w14:paraId="39AECB5D" w14:textId="77777777" w:rsidR="004E7599" w:rsidRPr="008D711D" w:rsidRDefault="004E7599" w:rsidP="004E7599">
      <w:pPr>
        <w:rPr>
          <w:rFonts w:eastAsia="Times New Roman"/>
          <w:sz w:val="24"/>
        </w:rPr>
      </w:pP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t>Post Office Address:</w:t>
      </w:r>
    </w:p>
    <w:p w14:paraId="01BC8E53" w14:textId="77777777" w:rsidR="004E7599" w:rsidRPr="008D711D" w:rsidRDefault="004E7599" w:rsidP="004E7599">
      <w:pPr>
        <w:rPr>
          <w:rFonts w:eastAsia="Times New Roman"/>
          <w:sz w:val="24"/>
        </w:rPr>
      </w:pP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t xml:space="preserve">Judge </w:t>
      </w:r>
    </w:p>
    <w:p w14:paraId="39ACA9F8" w14:textId="77777777" w:rsidR="004E7599" w:rsidRPr="008D711D" w:rsidRDefault="004E7599" w:rsidP="004E7599">
      <w:pPr>
        <w:rPr>
          <w:rFonts w:eastAsia="Times New Roman"/>
          <w:sz w:val="24"/>
        </w:rPr>
      </w:pP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t>One Lafayette Centre</w:t>
      </w:r>
    </w:p>
    <w:p w14:paraId="30016231" w14:textId="77777777" w:rsidR="004E7599" w:rsidRPr="008D711D" w:rsidRDefault="004E7599" w:rsidP="004E7599">
      <w:pPr>
        <w:rPr>
          <w:rFonts w:eastAsia="Times New Roman"/>
          <w:sz w:val="24"/>
        </w:rPr>
      </w:pP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t>1120 20</w:t>
      </w:r>
      <w:r w:rsidRPr="008D711D">
        <w:rPr>
          <w:rFonts w:eastAsia="Times New Roman"/>
          <w:sz w:val="24"/>
          <w:vertAlign w:val="superscript"/>
        </w:rPr>
        <w:t>th</w:t>
      </w:r>
      <w:r w:rsidRPr="008D711D">
        <w:rPr>
          <w:rFonts w:eastAsia="Times New Roman"/>
          <w:sz w:val="24"/>
        </w:rPr>
        <w:t xml:space="preserve"> Street, N.W., Room 990</w:t>
      </w:r>
    </w:p>
    <w:p w14:paraId="4020CD24" w14:textId="2901268B" w:rsidR="004E7599" w:rsidRPr="008D711D" w:rsidRDefault="004E7599" w:rsidP="004E7599">
      <w:pPr>
        <w:rPr>
          <w:rFonts w:eastAsia="Times New Roman"/>
          <w:sz w:val="24"/>
        </w:rPr>
      </w:pP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r>
      <w:r w:rsidRPr="008D711D">
        <w:rPr>
          <w:rFonts w:eastAsia="Times New Roman"/>
          <w:sz w:val="24"/>
        </w:rPr>
        <w:tab/>
        <w:t>Washington, D.C. 20036-3457</w:t>
      </w:r>
    </w:p>
    <w:p w14:paraId="456AA1AA" w14:textId="77777777" w:rsidR="004E7599" w:rsidRPr="008D711D" w:rsidRDefault="004E7599" w:rsidP="004E7599">
      <w:pPr>
        <w:widowControl w:val="0"/>
        <w:tabs>
          <w:tab w:val="left" w:pos="181"/>
        </w:tabs>
        <w:rPr>
          <w:rFonts w:eastAsia="Times New Roman"/>
          <w:sz w:val="24"/>
          <w:szCs w:val="24"/>
        </w:rPr>
      </w:pPr>
      <w:r w:rsidRPr="008D711D">
        <w:rPr>
          <w:rFonts w:eastAsia="Times New Roman"/>
          <w:sz w:val="24"/>
          <w:szCs w:val="24"/>
        </w:rPr>
        <w:tab/>
      </w:r>
      <w:r w:rsidRPr="008D711D">
        <w:rPr>
          <w:rFonts w:eastAsia="Times New Roman"/>
          <w:sz w:val="24"/>
          <w:szCs w:val="24"/>
        </w:rPr>
        <w:tab/>
      </w:r>
      <w:r w:rsidRPr="008D711D">
        <w:rPr>
          <w:rFonts w:eastAsia="Times New Roman"/>
          <w:sz w:val="24"/>
          <w:szCs w:val="24"/>
        </w:rPr>
        <w:tab/>
      </w:r>
      <w:r w:rsidRPr="008D711D">
        <w:rPr>
          <w:rFonts w:eastAsia="Times New Roman"/>
          <w:sz w:val="24"/>
          <w:szCs w:val="24"/>
        </w:rPr>
        <w:tab/>
      </w:r>
      <w:r w:rsidRPr="008D711D">
        <w:rPr>
          <w:rFonts w:eastAsia="Times New Roman"/>
          <w:sz w:val="24"/>
          <w:szCs w:val="24"/>
        </w:rPr>
        <w:tab/>
      </w:r>
      <w:r w:rsidRPr="008D711D">
        <w:rPr>
          <w:rFonts w:eastAsia="Times New Roman"/>
          <w:sz w:val="24"/>
          <w:szCs w:val="24"/>
        </w:rPr>
        <w:tab/>
      </w:r>
      <w:r w:rsidRPr="008D711D">
        <w:rPr>
          <w:rFonts w:eastAsia="Times New Roman"/>
          <w:sz w:val="24"/>
          <w:szCs w:val="24"/>
        </w:rPr>
        <w:tab/>
        <w:t>(202) 606-5405 FAX (202) 606-5409</w:t>
      </w:r>
    </w:p>
    <w:p w14:paraId="26C8CA74" w14:textId="77777777" w:rsidR="004E7599" w:rsidRPr="008D711D" w:rsidRDefault="004E7599" w:rsidP="004E7599"/>
    <w:p w14:paraId="000B99DD" w14:textId="77777777" w:rsidR="004E7599" w:rsidRPr="008D711D" w:rsidRDefault="004E7599" w:rsidP="004E7599"/>
    <w:p w14:paraId="581A5EF8" w14:textId="77777777" w:rsidR="004E7599" w:rsidRDefault="004E7599" w:rsidP="004E7599"/>
    <w:p w14:paraId="06BA25F7" w14:textId="77777777" w:rsidR="00FF76E2" w:rsidRDefault="00ED1618"/>
    <w:sectPr w:rsidR="00FF76E2" w:rsidSect="008F5FF8">
      <w:footerReference w:type="default" r:id="rId7"/>
      <w:headerReference w:type="first" r:id="rId8"/>
      <w:pgSz w:w="12240" w:h="15840"/>
      <w:pgMar w:top="1440" w:right="1440" w:bottom="1440" w:left="1440" w:header="144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8A5A5" w14:textId="77777777" w:rsidR="0085009B" w:rsidRDefault="0085009B">
      <w:r>
        <w:separator/>
      </w:r>
    </w:p>
  </w:endnote>
  <w:endnote w:type="continuationSeparator" w:id="0">
    <w:p w14:paraId="1615ABA7" w14:textId="77777777" w:rsidR="0085009B" w:rsidRDefault="0085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tch Roman 12pt">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40672" w14:textId="6FAE8062" w:rsidR="00220E68" w:rsidRDefault="00220E68">
    <w:pPr>
      <w:pStyle w:val="Footer"/>
      <w:jc w:val="center"/>
    </w:pPr>
  </w:p>
  <w:p w14:paraId="14802AF0" w14:textId="76FD9139" w:rsidR="00220E68" w:rsidRDefault="00220E68">
    <w:pPr>
      <w:pStyle w:val="Footer"/>
      <w:jc w:val="center"/>
    </w:pPr>
    <w:r>
      <w:t>2</w:t>
    </w:r>
  </w:p>
  <w:p w14:paraId="2388B529" w14:textId="77777777" w:rsidR="00220E68" w:rsidRDefault="00220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79E9C" w14:textId="77777777" w:rsidR="0085009B" w:rsidRDefault="0085009B">
      <w:r>
        <w:separator/>
      </w:r>
    </w:p>
  </w:footnote>
  <w:footnote w:type="continuationSeparator" w:id="0">
    <w:p w14:paraId="79861C31" w14:textId="77777777" w:rsidR="0085009B" w:rsidRDefault="0085009B">
      <w:r>
        <w:continuationSeparator/>
      </w:r>
    </w:p>
  </w:footnote>
  <w:footnote w:id="1">
    <w:p w14:paraId="3218210F" w14:textId="2C307E49" w:rsidR="000C6A7B" w:rsidRPr="008F5FF8" w:rsidRDefault="000C6A7B" w:rsidP="008F5FF8">
      <w:pPr>
        <w:pStyle w:val="FootnoteText"/>
        <w:jc w:val="both"/>
        <w:rPr>
          <w:sz w:val="22"/>
          <w:szCs w:val="22"/>
        </w:rPr>
      </w:pPr>
      <w:r w:rsidRPr="008F5FF8">
        <w:rPr>
          <w:rStyle w:val="FootnoteReference"/>
          <w:sz w:val="22"/>
          <w:szCs w:val="22"/>
        </w:rPr>
        <w:footnoteRef/>
      </w:r>
      <w:r w:rsidRPr="008F5FF8">
        <w:rPr>
          <w:sz w:val="22"/>
          <w:szCs w:val="22"/>
        </w:rPr>
        <w:t xml:space="preserve"> OSHRC’s new Rules of Procedure were effective June 10, 2019 and all references contained herein refer to these revised Rules.  Rules of Procedure, 84 Fed. Reg. 14554 (April 10, 2019) (to be codified at 29 C.F.R. pt.</w:t>
      </w:r>
      <w:r w:rsidR="00331BFD" w:rsidRPr="008F5FF8">
        <w:rPr>
          <w:sz w:val="22"/>
          <w:szCs w:val="22"/>
        </w:rPr>
        <w:t xml:space="preserve"> </w:t>
      </w:r>
      <w:r w:rsidRPr="008F5FF8">
        <w:rPr>
          <w:sz w:val="22"/>
          <w:szCs w:val="22"/>
        </w:rPr>
        <w:t>2200).</w:t>
      </w:r>
      <w:r w:rsidR="00331BFD" w:rsidRPr="008F5FF8">
        <w:rPr>
          <w:sz w:val="22"/>
          <w:szCs w:val="22"/>
        </w:rPr>
        <w:t xml:space="preserve"> </w:t>
      </w:r>
      <w:r w:rsidR="002B0993" w:rsidRPr="008F5FF8">
        <w:rPr>
          <w:sz w:val="22"/>
          <w:szCs w:val="22"/>
        </w:rPr>
        <w:t>(</w:t>
      </w:r>
      <w:hyperlink r:id="rId1" w:history="1">
        <w:r w:rsidR="002B0993" w:rsidRPr="008F5FF8">
          <w:rPr>
            <w:rStyle w:val="Hyperlink"/>
            <w:sz w:val="22"/>
            <w:szCs w:val="22"/>
          </w:rPr>
          <w:t>https://www.federalregister.gov/documents/2019/04/10/2019-06581/rules-of-procedure</w:t>
        </w:r>
      </w:hyperlink>
      <w:r w:rsidR="0069380E" w:rsidRPr="008F5FF8">
        <w:rPr>
          <w:color w:val="0563C1" w:themeColor="hyperlink"/>
          <w:sz w:val="22"/>
          <w:szCs w:val="22"/>
          <w:u w:val="single"/>
        </w:rPr>
        <w:t>)</w:t>
      </w:r>
      <w:r w:rsidR="00331BFD" w:rsidRPr="008F5FF8">
        <w:rPr>
          <w:color w:val="0563C1" w:themeColor="hyperlink"/>
          <w:sz w:val="22"/>
          <w:szCs w:val="22"/>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0E133" w14:textId="77777777" w:rsidR="00F22617" w:rsidRDefault="00ED1618">
    <w:pPr>
      <w:pStyle w:val="Header"/>
    </w:pPr>
  </w:p>
  <w:p w14:paraId="75BC1DD7" w14:textId="77777777" w:rsidR="00F22617" w:rsidRDefault="00ED1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99"/>
    <w:rsid w:val="000107B6"/>
    <w:rsid w:val="00026292"/>
    <w:rsid w:val="00086F9D"/>
    <w:rsid w:val="000C6A7B"/>
    <w:rsid w:val="0017451A"/>
    <w:rsid w:val="00220E68"/>
    <w:rsid w:val="002B0993"/>
    <w:rsid w:val="002B2C8A"/>
    <w:rsid w:val="00331BFD"/>
    <w:rsid w:val="003A52C2"/>
    <w:rsid w:val="004E7599"/>
    <w:rsid w:val="005F6B73"/>
    <w:rsid w:val="0061181C"/>
    <w:rsid w:val="0069380E"/>
    <w:rsid w:val="006942E6"/>
    <w:rsid w:val="00724196"/>
    <w:rsid w:val="00795CD8"/>
    <w:rsid w:val="0085009B"/>
    <w:rsid w:val="008F5FF8"/>
    <w:rsid w:val="00B30062"/>
    <w:rsid w:val="00B6042C"/>
    <w:rsid w:val="00D05B33"/>
    <w:rsid w:val="00ED1618"/>
    <w:rsid w:val="00EF5B13"/>
    <w:rsid w:val="00F819CF"/>
    <w:rsid w:val="00FD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D95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599"/>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599"/>
    <w:pPr>
      <w:tabs>
        <w:tab w:val="center" w:pos="4680"/>
        <w:tab w:val="right" w:pos="9360"/>
      </w:tabs>
    </w:pPr>
  </w:style>
  <w:style w:type="character" w:customStyle="1" w:styleId="HeaderChar">
    <w:name w:val="Header Char"/>
    <w:basedOn w:val="DefaultParagraphFont"/>
    <w:link w:val="Header"/>
    <w:uiPriority w:val="99"/>
    <w:rsid w:val="004E7599"/>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0C6A7B"/>
  </w:style>
  <w:style w:type="character" w:customStyle="1" w:styleId="FootnoteTextChar">
    <w:name w:val="Footnote Text Char"/>
    <w:basedOn w:val="DefaultParagraphFont"/>
    <w:link w:val="FootnoteText"/>
    <w:uiPriority w:val="99"/>
    <w:semiHidden/>
    <w:rsid w:val="000C6A7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C6A7B"/>
    <w:rPr>
      <w:vertAlign w:val="superscript"/>
    </w:rPr>
  </w:style>
  <w:style w:type="paragraph" w:styleId="Footer">
    <w:name w:val="footer"/>
    <w:basedOn w:val="Normal"/>
    <w:link w:val="FooterChar"/>
    <w:uiPriority w:val="99"/>
    <w:unhideWhenUsed/>
    <w:rsid w:val="00331BFD"/>
    <w:pPr>
      <w:tabs>
        <w:tab w:val="center" w:pos="4680"/>
        <w:tab w:val="right" w:pos="9360"/>
      </w:tabs>
    </w:pPr>
  </w:style>
  <w:style w:type="character" w:customStyle="1" w:styleId="FooterChar">
    <w:name w:val="Footer Char"/>
    <w:basedOn w:val="DefaultParagraphFont"/>
    <w:link w:val="Footer"/>
    <w:uiPriority w:val="99"/>
    <w:rsid w:val="00331BF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31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BFD"/>
    <w:rPr>
      <w:rFonts w:ascii="Segoe UI" w:hAnsi="Segoe UI" w:cs="Segoe UI"/>
      <w:sz w:val="18"/>
      <w:szCs w:val="18"/>
    </w:rPr>
  </w:style>
  <w:style w:type="character" w:styleId="Hyperlink">
    <w:name w:val="Hyperlink"/>
    <w:basedOn w:val="DefaultParagraphFont"/>
    <w:uiPriority w:val="99"/>
    <w:unhideWhenUsed/>
    <w:rsid w:val="002B0993"/>
    <w:rPr>
      <w:color w:val="0563C1" w:themeColor="hyperlink"/>
      <w:u w:val="single"/>
    </w:rPr>
  </w:style>
  <w:style w:type="character" w:styleId="UnresolvedMention">
    <w:name w:val="Unresolved Mention"/>
    <w:basedOn w:val="DefaultParagraphFont"/>
    <w:uiPriority w:val="99"/>
    <w:semiHidden/>
    <w:unhideWhenUsed/>
    <w:rsid w:val="002B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19/04/10/2019-06581/rules-of-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1232</Characters>
  <Application>Microsoft Office Word</Application>
  <DocSecurity>4</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2019-06-05T12:21:00Z</dcterms:created>
  <dcterms:modified xsi:type="dcterms:W3CDTF">2019-06-05T12:21:00Z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