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821AA" w14:textId="77777777" w:rsidR="002F7C03" w:rsidRDefault="002F7C03" w:rsidP="00CF25BF">
      <w:pPr>
        <w:spacing w:line="360" w:lineRule="auto"/>
        <w:jc w:val="both"/>
        <w:rPr>
          <w:sz w:val="24"/>
          <w:szCs w:val="24"/>
          <w:lang w:val="en-CA"/>
        </w:rPr>
      </w:pPr>
      <w:bookmarkStart w:id="0" w:name="_Hlk7104252"/>
    </w:p>
    <w:bookmarkStart w:id="1" w:name="_GoBack"/>
    <w:bookmarkEnd w:id="1"/>
    <w:p w14:paraId="3AB62E91" w14:textId="5378FF54" w:rsidR="00CF25BF" w:rsidRDefault="00CF25BF" w:rsidP="00CF25BF">
      <w:pPr>
        <w:spacing w:line="360" w:lineRule="auto"/>
        <w:jc w:val="both"/>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14:paraId="07E6BEF1" w14:textId="77777777" w:rsidR="007E0F20" w:rsidRDefault="007E0F20" w:rsidP="00CF25BF">
      <w:pPr>
        <w:jc w:val="center"/>
        <w:rPr>
          <w:sz w:val="22"/>
          <w:szCs w:val="22"/>
        </w:rPr>
      </w:pPr>
    </w:p>
    <w:p w14:paraId="7A25372E" w14:textId="19D7D3D8" w:rsidR="00CF25BF" w:rsidRDefault="00CF25BF" w:rsidP="00CF25BF">
      <w:pPr>
        <w:jc w:val="center"/>
        <w:rPr>
          <w:sz w:val="22"/>
          <w:szCs w:val="22"/>
        </w:rPr>
      </w:pPr>
      <w:r>
        <w:rPr>
          <w:sz w:val="22"/>
          <w:szCs w:val="22"/>
        </w:rPr>
        <w:t>United States of America</w:t>
      </w:r>
    </w:p>
    <w:p w14:paraId="00C2DCFF" w14:textId="77777777" w:rsidR="00CF25BF" w:rsidRDefault="00CF25BF" w:rsidP="00CF25BF">
      <w:pPr>
        <w:ind w:firstLine="720"/>
        <w:jc w:val="center"/>
        <w:rPr>
          <w:sz w:val="22"/>
          <w:szCs w:val="22"/>
        </w:rPr>
      </w:pPr>
      <w:r>
        <w:rPr>
          <w:b/>
          <w:bCs/>
          <w:sz w:val="22"/>
          <w:szCs w:val="22"/>
        </w:rPr>
        <w:t>OCCUPATIONAL SAFETY AND HEALTH REVIEW COMMISSION</w:t>
      </w:r>
    </w:p>
    <w:p w14:paraId="08FB3F90" w14:textId="77777777" w:rsidR="00CF25BF" w:rsidRDefault="00CF25BF" w:rsidP="00CF25BF">
      <w:pPr>
        <w:ind w:left="-720"/>
      </w:pP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Pr>
          <w:sz w:val="16"/>
          <w:szCs w:val="16"/>
        </w:rPr>
        <w:t xml:space="preserve">                    </w:t>
      </w:r>
    </w:p>
    <w:tbl>
      <w:tblPr>
        <w:tblW w:w="0" w:type="auto"/>
        <w:tblInd w:w="110" w:type="dxa"/>
        <w:tblLayout w:type="fixed"/>
        <w:tblCellMar>
          <w:left w:w="110" w:type="dxa"/>
          <w:right w:w="110" w:type="dxa"/>
        </w:tblCellMar>
        <w:tblLook w:val="0000" w:firstRow="0" w:lastRow="0" w:firstColumn="0" w:lastColumn="0" w:noHBand="0" w:noVBand="0"/>
      </w:tblPr>
      <w:tblGrid>
        <w:gridCol w:w="4680"/>
        <w:gridCol w:w="4680"/>
      </w:tblGrid>
      <w:tr w:rsidR="00CF25BF" w14:paraId="02C3210F" w14:textId="77777777" w:rsidTr="00AA770C">
        <w:trPr>
          <w:cantSplit/>
        </w:trPr>
        <w:tc>
          <w:tcPr>
            <w:tcW w:w="4680" w:type="dxa"/>
            <w:tcBorders>
              <w:top w:val="single" w:sz="6" w:space="0" w:color="000000"/>
              <w:left w:val="nil"/>
              <w:bottom w:val="nil"/>
              <w:right w:val="dashSmallGap" w:sz="6" w:space="0" w:color="000000"/>
            </w:tcBorders>
          </w:tcPr>
          <w:p w14:paraId="29C2308F" w14:textId="77777777" w:rsidR="00CF25BF" w:rsidRPr="00615D0F" w:rsidRDefault="00CF25BF" w:rsidP="00470E5F">
            <w:pPr>
              <w:spacing w:line="360" w:lineRule="auto"/>
              <w:rPr>
                <w:sz w:val="24"/>
                <w:szCs w:val="24"/>
              </w:rPr>
            </w:pPr>
            <w:r w:rsidRPr="00615D0F">
              <w:rPr>
                <w:bCs/>
                <w:sz w:val="24"/>
                <w:szCs w:val="24"/>
              </w:rPr>
              <w:t>SECRETARY OF LABOR,</w:t>
            </w:r>
          </w:p>
        </w:tc>
        <w:tc>
          <w:tcPr>
            <w:tcW w:w="4680" w:type="dxa"/>
            <w:tcBorders>
              <w:top w:val="nil"/>
              <w:left w:val="nil"/>
              <w:bottom w:val="nil"/>
              <w:right w:val="nil"/>
            </w:tcBorders>
          </w:tcPr>
          <w:p w14:paraId="19CDAF19" w14:textId="77777777" w:rsidR="00CF25BF" w:rsidRDefault="00CF25BF" w:rsidP="00470E5F">
            <w:pPr>
              <w:spacing w:line="360" w:lineRule="auto"/>
              <w:rPr>
                <w:sz w:val="24"/>
                <w:szCs w:val="24"/>
              </w:rPr>
            </w:pPr>
          </w:p>
        </w:tc>
      </w:tr>
      <w:tr w:rsidR="00CF25BF" w14:paraId="439820D0" w14:textId="77777777" w:rsidTr="00AA770C">
        <w:trPr>
          <w:cantSplit/>
        </w:trPr>
        <w:tc>
          <w:tcPr>
            <w:tcW w:w="4680" w:type="dxa"/>
            <w:tcBorders>
              <w:top w:val="nil"/>
              <w:left w:val="nil"/>
              <w:bottom w:val="nil"/>
              <w:right w:val="dashSmallGap" w:sz="6" w:space="0" w:color="000000"/>
            </w:tcBorders>
          </w:tcPr>
          <w:p w14:paraId="12D80129" w14:textId="77777777" w:rsidR="00CF25BF" w:rsidRPr="00615D0F" w:rsidRDefault="00CF25BF" w:rsidP="00470E5F">
            <w:pPr>
              <w:spacing w:line="360" w:lineRule="auto"/>
              <w:jc w:val="center"/>
              <w:rPr>
                <w:sz w:val="24"/>
                <w:szCs w:val="24"/>
              </w:rPr>
            </w:pPr>
            <w:r w:rsidRPr="00615D0F">
              <w:rPr>
                <w:bCs/>
                <w:sz w:val="24"/>
                <w:szCs w:val="24"/>
              </w:rPr>
              <w:t>Complainant,</w:t>
            </w:r>
          </w:p>
        </w:tc>
        <w:tc>
          <w:tcPr>
            <w:tcW w:w="4680" w:type="dxa"/>
            <w:tcBorders>
              <w:top w:val="nil"/>
              <w:left w:val="nil"/>
              <w:bottom w:val="nil"/>
              <w:right w:val="nil"/>
            </w:tcBorders>
          </w:tcPr>
          <w:p w14:paraId="03B14B08" w14:textId="77777777" w:rsidR="00CF25BF" w:rsidRDefault="00CF25BF" w:rsidP="00470E5F">
            <w:pPr>
              <w:spacing w:line="360" w:lineRule="auto"/>
              <w:rPr>
                <w:sz w:val="24"/>
                <w:szCs w:val="24"/>
              </w:rPr>
            </w:pPr>
          </w:p>
        </w:tc>
      </w:tr>
      <w:tr w:rsidR="00CF25BF" w14:paraId="23F16A26" w14:textId="77777777" w:rsidTr="00AA770C">
        <w:trPr>
          <w:cantSplit/>
        </w:trPr>
        <w:tc>
          <w:tcPr>
            <w:tcW w:w="4680" w:type="dxa"/>
            <w:tcBorders>
              <w:top w:val="nil"/>
              <w:left w:val="nil"/>
              <w:bottom w:val="nil"/>
              <w:right w:val="dashSmallGap" w:sz="6" w:space="0" w:color="000000"/>
            </w:tcBorders>
          </w:tcPr>
          <w:p w14:paraId="3E2F9A2A" w14:textId="77777777" w:rsidR="00CF25BF" w:rsidRPr="00615D0F" w:rsidRDefault="00CF25BF" w:rsidP="00470E5F">
            <w:pPr>
              <w:spacing w:line="360" w:lineRule="auto"/>
              <w:jc w:val="center"/>
              <w:rPr>
                <w:sz w:val="24"/>
                <w:szCs w:val="24"/>
              </w:rPr>
            </w:pPr>
            <w:r w:rsidRPr="00615D0F">
              <w:rPr>
                <w:bCs/>
                <w:sz w:val="24"/>
                <w:szCs w:val="24"/>
              </w:rPr>
              <w:t>v.</w:t>
            </w:r>
          </w:p>
        </w:tc>
        <w:tc>
          <w:tcPr>
            <w:tcW w:w="4680" w:type="dxa"/>
            <w:tcBorders>
              <w:top w:val="nil"/>
              <w:left w:val="nil"/>
              <w:bottom w:val="nil"/>
              <w:right w:val="nil"/>
            </w:tcBorders>
          </w:tcPr>
          <w:p w14:paraId="433A057D" w14:textId="77777777" w:rsidR="00CF25BF" w:rsidRPr="00615D0F" w:rsidRDefault="00CF25BF" w:rsidP="00470E5F">
            <w:pPr>
              <w:spacing w:line="360" w:lineRule="auto"/>
              <w:rPr>
                <w:sz w:val="24"/>
                <w:szCs w:val="24"/>
              </w:rPr>
            </w:pPr>
            <w:r>
              <w:rPr>
                <w:b/>
                <w:bCs/>
                <w:sz w:val="24"/>
                <w:szCs w:val="24"/>
              </w:rPr>
              <w:t xml:space="preserve">  </w:t>
            </w:r>
            <w:r w:rsidRPr="00615D0F">
              <w:rPr>
                <w:bCs/>
                <w:sz w:val="24"/>
                <w:szCs w:val="24"/>
              </w:rPr>
              <w:t xml:space="preserve">OSHRC DOCKET NO. </w:t>
            </w:r>
          </w:p>
        </w:tc>
      </w:tr>
      <w:tr w:rsidR="00CF25BF" w14:paraId="14068579" w14:textId="77777777" w:rsidTr="00AA770C">
        <w:trPr>
          <w:cantSplit/>
        </w:trPr>
        <w:tc>
          <w:tcPr>
            <w:tcW w:w="4680" w:type="dxa"/>
            <w:tcBorders>
              <w:top w:val="nil"/>
              <w:left w:val="nil"/>
              <w:bottom w:val="nil"/>
              <w:right w:val="dashSmallGap" w:sz="6" w:space="0" w:color="000000"/>
            </w:tcBorders>
          </w:tcPr>
          <w:p w14:paraId="7F81F031" w14:textId="2C7726BE" w:rsidR="00CF25BF" w:rsidRPr="00615D0F" w:rsidRDefault="000223B3" w:rsidP="00470E5F">
            <w:pPr>
              <w:spacing w:line="360" w:lineRule="auto"/>
              <w:contextualSpacing/>
              <w:rPr>
                <w:sz w:val="24"/>
                <w:szCs w:val="24"/>
              </w:rPr>
            </w:pPr>
            <w:bookmarkStart w:id="2" w:name="2"/>
            <w:bookmarkEnd w:id="2"/>
            <w:r>
              <w:rPr>
                <w:sz w:val="24"/>
                <w:szCs w:val="24"/>
              </w:rPr>
              <w:t>XYZ CORP.,</w:t>
            </w:r>
          </w:p>
        </w:tc>
        <w:tc>
          <w:tcPr>
            <w:tcW w:w="4680" w:type="dxa"/>
            <w:tcBorders>
              <w:top w:val="nil"/>
              <w:left w:val="nil"/>
              <w:bottom w:val="nil"/>
              <w:right w:val="nil"/>
            </w:tcBorders>
          </w:tcPr>
          <w:p w14:paraId="36E89770" w14:textId="77777777" w:rsidR="00CF25BF" w:rsidRPr="002B3520" w:rsidRDefault="00CF25BF" w:rsidP="00470E5F">
            <w:pPr>
              <w:spacing w:line="360" w:lineRule="auto"/>
              <w:rPr>
                <w:b/>
                <w:sz w:val="24"/>
                <w:szCs w:val="24"/>
              </w:rPr>
            </w:pPr>
            <w:r>
              <w:rPr>
                <w:sz w:val="24"/>
                <w:szCs w:val="24"/>
              </w:rPr>
              <w:t xml:space="preserve">    </w:t>
            </w:r>
          </w:p>
        </w:tc>
      </w:tr>
      <w:tr w:rsidR="00CF25BF" w14:paraId="743D5CBA" w14:textId="77777777" w:rsidTr="00AA770C">
        <w:trPr>
          <w:cantSplit/>
        </w:trPr>
        <w:tc>
          <w:tcPr>
            <w:tcW w:w="4680" w:type="dxa"/>
            <w:tcBorders>
              <w:top w:val="nil"/>
              <w:left w:val="nil"/>
              <w:bottom w:val="single" w:sz="6" w:space="0" w:color="000000"/>
              <w:right w:val="dashSmallGap" w:sz="6" w:space="0" w:color="000000"/>
            </w:tcBorders>
          </w:tcPr>
          <w:p w14:paraId="593B2801" w14:textId="77777777" w:rsidR="00CF25BF" w:rsidRPr="006673C2" w:rsidRDefault="00CF25BF" w:rsidP="00470E5F">
            <w:pPr>
              <w:spacing w:line="360" w:lineRule="auto"/>
              <w:rPr>
                <w:sz w:val="24"/>
                <w:szCs w:val="24"/>
              </w:rPr>
            </w:pPr>
            <w:r>
              <w:rPr>
                <w:sz w:val="24"/>
                <w:szCs w:val="24"/>
              </w:rPr>
              <w:t xml:space="preserve">                          Respondent.</w:t>
            </w:r>
          </w:p>
        </w:tc>
        <w:tc>
          <w:tcPr>
            <w:tcW w:w="4680" w:type="dxa"/>
            <w:tcBorders>
              <w:top w:val="nil"/>
              <w:left w:val="nil"/>
              <w:bottom w:val="nil"/>
              <w:right w:val="nil"/>
            </w:tcBorders>
          </w:tcPr>
          <w:p w14:paraId="4D7A9F48" w14:textId="77777777" w:rsidR="00CF25BF" w:rsidRDefault="00CF25BF" w:rsidP="00470E5F">
            <w:pPr>
              <w:spacing w:line="360" w:lineRule="auto"/>
              <w:rPr>
                <w:sz w:val="24"/>
                <w:szCs w:val="24"/>
              </w:rPr>
            </w:pPr>
          </w:p>
        </w:tc>
      </w:tr>
    </w:tbl>
    <w:p w14:paraId="711B4806" w14:textId="77777777" w:rsidR="00CF25BF" w:rsidRPr="002B3520" w:rsidRDefault="00CF25BF" w:rsidP="00A05639">
      <w:pPr>
        <w:spacing w:line="360" w:lineRule="auto"/>
        <w:jc w:val="both"/>
        <w:rPr>
          <w:sz w:val="24"/>
          <w:szCs w:val="24"/>
        </w:rPr>
      </w:pPr>
      <w:r>
        <w:rPr>
          <w:sz w:val="24"/>
          <w:szCs w:val="24"/>
        </w:rPr>
        <w:t xml:space="preserve"> </w:t>
      </w:r>
    </w:p>
    <w:p w14:paraId="6BCDE3FE" w14:textId="77777777" w:rsidR="00B57DA5" w:rsidRPr="00B57DA5" w:rsidRDefault="00B57DA5" w:rsidP="00B57DA5">
      <w:pPr>
        <w:spacing w:after="240"/>
        <w:jc w:val="center"/>
        <w:rPr>
          <w:rFonts w:eastAsia="Times New Roman"/>
          <w:color w:val="000000"/>
          <w:sz w:val="24"/>
          <w:szCs w:val="24"/>
          <w:u w:val="single"/>
        </w:rPr>
      </w:pPr>
      <w:r w:rsidRPr="00B57DA5">
        <w:rPr>
          <w:rFonts w:eastAsia="Times New Roman"/>
          <w:b/>
          <w:bCs/>
          <w:color w:val="000000"/>
          <w:sz w:val="24"/>
          <w:szCs w:val="24"/>
          <w:u w:val="single"/>
        </w:rPr>
        <w:t>PETITION FOR DISCRETIONARY REVIEW</w:t>
      </w:r>
    </w:p>
    <w:p w14:paraId="54B07258" w14:textId="77777777" w:rsidR="00B57DA5" w:rsidRPr="00371DD6" w:rsidRDefault="00B57DA5" w:rsidP="00B57DA5">
      <w:pPr>
        <w:spacing w:after="240"/>
        <w:rPr>
          <w:rFonts w:eastAsia="Times New Roman"/>
          <w:color w:val="000000"/>
          <w:sz w:val="24"/>
          <w:szCs w:val="24"/>
        </w:rPr>
      </w:pPr>
      <w:r w:rsidRPr="00371DD6">
        <w:rPr>
          <w:rFonts w:eastAsia="Times New Roman"/>
          <w:color w:val="000000"/>
          <w:sz w:val="24"/>
          <w:szCs w:val="24"/>
        </w:rPr>
        <w:t>Pursuant to Commission Rule 91, 29 C.F.R. 2200.91, Respondent, XYZ Corp. petitions the Occupational Safety and Health Review Commission for review of the Administrative Law Judge’s decision in this case.</w:t>
      </w:r>
    </w:p>
    <w:p w14:paraId="101F898A" w14:textId="77777777" w:rsidR="00B57DA5" w:rsidRPr="00371DD6" w:rsidRDefault="00B57DA5" w:rsidP="00B57DA5">
      <w:pPr>
        <w:spacing w:after="240"/>
        <w:jc w:val="center"/>
        <w:rPr>
          <w:rFonts w:eastAsia="Times New Roman"/>
          <w:color w:val="000000"/>
          <w:sz w:val="24"/>
          <w:szCs w:val="24"/>
        </w:rPr>
      </w:pPr>
      <w:r w:rsidRPr="00371DD6">
        <w:rPr>
          <w:rFonts w:eastAsia="Times New Roman"/>
          <w:b/>
          <w:bCs/>
          <w:color w:val="000000"/>
          <w:sz w:val="24"/>
          <w:szCs w:val="24"/>
        </w:rPr>
        <w:t xml:space="preserve">Statement </w:t>
      </w:r>
      <w:proofErr w:type="gramStart"/>
      <w:r w:rsidRPr="00371DD6">
        <w:rPr>
          <w:rFonts w:eastAsia="Times New Roman"/>
          <w:b/>
          <w:bCs/>
          <w:color w:val="000000"/>
          <w:sz w:val="24"/>
          <w:szCs w:val="24"/>
        </w:rPr>
        <w:t>Of</w:t>
      </w:r>
      <w:proofErr w:type="gramEnd"/>
      <w:r w:rsidRPr="00371DD6">
        <w:rPr>
          <w:rFonts w:eastAsia="Times New Roman"/>
          <w:b/>
          <w:bCs/>
          <w:color w:val="000000"/>
          <w:sz w:val="24"/>
          <w:szCs w:val="24"/>
        </w:rPr>
        <w:t xml:space="preserve"> Portions Of The Decision And Order To Which Exception Is Taken</w:t>
      </w:r>
    </w:p>
    <w:p w14:paraId="24EC385E" w14:textId="77777777" w:rsidR="00B57DA5" w:rsidRPr="00371DD6" w:rsidRDefault="00B57DA5" w:rsidP="00B57DA5">
      <w:pPr>
        <w:spacing w:after="240"/>
        <w:rPr>
          <w:rFonts w:eastAsia="Times New Roman"/>
          <w:color w:val="000000"/>
          <w:sz w:val="24"/>
          <w:szCs w:val="24"/>
        </w:rPr>
      </w:pPr>
      <w:r w:rsidRPr="00371DD6">
        <w:rPr>
          <w:rFonts w:eastAsia="Times New Roman"/>
          <w:color w:val="000000"/>
          <w:sz w:val="24"/>
          <w:szCs w:val="24"/>
        </w:rPr>
        <w:t>1. XYZ Corp. takes exception to that portion of the Decision and Order wherein the Administrative Law Judge held XYZ Corp. in serious violation of the standard published at 29 CFR 1926.28(a) as alleged in Serious Citation 1, Item 1, in finding that XYZ’s employee John Jones was exposed to the alleged violation. (Judge’s Decision at pp. 8 - 12.)</w:t>
      </w:r>
    </w:p>
    <w:p w14:paraId="153B41B2" w14:textId="77777777" w:rsidR="00B57DA5" w:rsidRPr="00371DD6" w:rsidRDefault="00B57DA5" w:rsidP="00B57DA5">
      <w:pPr>
        <w:spacing w:after="240"/>
        <w:rPr>
          <w:rFonts w:eastAsia="Times New Roman"/>
          <w:color w:val="000000"/>
          <w:sz w:val="24"/>
          <w:szCs w:val="24"/>
        </w:rPr>
      </w:pPr>
      <w:r w:rsidRPr="00371DD6">
        <w:rPr>
          <w:rFonts w:eastAsia="Times New Roman"/>
          <w:color w:val="000000"/>
          <w:sz w:val="24"/>
          <w:szCs w:val="24"/>
        </w:rPr>
        <w:t xml:space="preserve">2. XYZ Corp. takes exception to that portion of the Decision and Order pertaining to Serious Citation 1, Item 1, wherein the Administrative Law Judge held that action of employee John Jones was </w:t>
      </w:r>
      <w:proofErr w:type="gramStart"/>
      <w:r w:rsidRPr="00371DD6">
        <w:rPr>
          <w:rFonts w:eastAsia="Times New Roman"/>
          <w:color w:val="000000"/>
          <w:sz w:val="24"/>
          <w:szCs w:val="24"/>
        </w:rPr>
        <w:t>not unpreventable</w:t>
      </w:r>
      <w:proofErr w:type="gramEnd"/>
      <w:r w:rsidRPr="00371DD6">
        <w:rPr>
          <w:rFonts w:eastAsia="Times New Roman"/>
          <w:color w:val="000000"/>
          <w:sz w:val="24"/>
          <w:szCs w:val="24"/>
        </w:rPr>
        <w:t xml:space="preserve"> employee misconduct.  (Judge’s Decision at pp. 13 - 17.)</w:t>
      </w:r>
    </w:p>
    <w:p w14:paraId="1D541173" w14:textId="77777777" w:rsidR="00B57DA5" w:rsidRPr="00371DD6" w:rsidRDefault="00B57DA5" w:rsidP="00B57DA5">
      <w:pPr>
        <w:spacing w:after="240"/>
        <w:jc w:val="center"/>
        <w:rPr>
          <w:rFonts w:eastAsia="Times New Roman"/>
          <w:color w:val="000000"/>
          <w:sz w:val="24"/>
          <w:szCs w:val="24"/>
        </w:rPr>
      </w:pPr>
      <w:r w:rsidRPr="00371DD6">
        <w:rPr>
          <w:rFonts w:eastAsia="Times New Roman"/>
          <w:b/>
          <w:bCs/>
          <w:color w:val="000000"/>
          <w:sz w:val="24"/>
          <w:szCs w:val="24"/>
        </w:rPr>
        <w:t xml:space="preserve">Statement </w:t>
      </w:r>
      <w:proofErr w:type="gramStart"/>
      <w:r w:rsidRPr="00371DD6">
        <w:rPr>
          <w:rFonts w:eastAsia="Times New Roman"/>
          <w:b/>
          <w:bCs/>
          <w:color w:val="000000"/>
          <w:sz w:val="24"/>
          <w:szCs w:val="24"/>
        </w:rPr>
        <w:t>Of</w:t>
      </w:r>
      <w:proofErr w:type="gramEnd"/>
      <w:r w:rsidRPr="00371DD6">
        <w:rPr>
          <w:rFonts w:eastAsia="Times New Roman"/>
          <w:b/>
          <w:bCs/>
          <w:color w:val="000000"/>
          <w:sz w:val="24"/>
          <w:szCs w:val="24"/>
        </w:rPr>
        <w:t xml:space="preserve"> Reasons For Which Exceptions Are Taken</w:t>
      </w:r>
    </w:p>
    <w:p w14:paraId="3D2E1CB4" w14:textId="77777777" w:rsidR="00B57DA5" w:rsidRPr="00371DD6" w:rsidRDefault="00B57DA5" w:rsidP="00B57DA5">
      <w:pPr>
        <w:spacing w:after="240"/>
        <w:rPr>
          <w:rFonts w:eastAsia="Times New Roman"/>
          <w:color w:val="000000"/>
          <w:sz w:val="24"/>
          <w:szCs w:val="24"/>
        </w:rPr>
      </w:pPr>
      <w:r w:rsidRPr="00371DD6">
        <w:rPr>
          <w:rFonts w:eastAsia="Times New Roman"/>
          <w:color w:val="000000"/>
          <w:sz w:val="24"/>
          <w:szCs w:val="24"/>
        </w:rPr>
        <w:t xml:space="preserve">1. In the Decision, the Administrative Law Judge failed to follow the test set forth for the Fifth Circuit’s Decision in Secretary of Labor v. </w:t>
      </w:r>
      <w:proofErr w:type="spellStart"/>
      <w:r w:rsidRPr="00371DD6">
        <w:rPr>
          <w:rFonts w:eastAsia="Times New Roman"/>
          <w:color w:val="000000"/>
          <w:sz w:val="24"/>
          <w:szCs w:val="24"/>
        </w:rPr>
        <w:t>RPQ</w:t>
      </w:r>
      <w:proofErr w:type="spellEnd"/>
      <w:r w:rsidRPr="00371DD6">
        <w:rPr>
          <w:rFonts w:eastAsia="Times New Roman"/>
          <w:color w:val="000000"/>
          <w:sz w:val="24"/>
          <w:szCs w:val="24"/>
        </w:rPr>
        <w:t xml:space="preserve"> Corp. for determining the existence of employee exposure.  The testimony at transcript pages 25-45 clearly shows that John Jones was not in the zone of danger because he was on a work break and outside of the definition of the zone.</w:t>
      </w:r>
    </w:p>
    <w:p w14:paraId="2D0FFA83" w14:textId="77777777" w:rsidR="00B57DA5" w:rsidRPr="00371DD6" w:rsidRDefault="00B57DA5" w:rsidP="00B57DA5">
      <w:pPr>
        <w:spacing w:after="240"/>
        <w:rPr>
          <w:rFonts w:eastAsia="Times New Roman"/>
          <w:color w:val="000000"/>
          <w:sz w:val="24"/>
          <w:szCs w:val="24"/>
        </w:rPr>
      </w:pPr>
      <w:r w:rsidRPr="00371DD6">
        <w:rPr>
          <w:rFonts w:eastAsia="Times New Roman"/>
          <w:color w:val="000000"/>
          <w:sz w:val="24"/>
          <w:szCs w:val="24"/>
        </w:rPr>
        <w:t xml:space="preserve">2. The evidence of record supports XYZ’s position that the actions taken by employee John Jones were unpreventable.  The Commission has set forth the test for determining unpreventable employee misconduct at Secretary of Labor v. ROM Corp.  The testimony of XYZ’s employees at transcript pp. 46-59 met </w:t>
      </w:r>
      <w:proofErr w:type="gramStart"/>
      <w:r w:rsidRPr="00371DD6">
        <w:rPr>
          <w:rFonts w:eastAsia="Times New Roman"/>
          <w:color w:val="000000"/>
          <w:sz w:val="24"/>
          <w:szCs w:val="24"/>
        </w:rPr>
        <w:t>all of</w:t>
      </w:r>
      <w:proofErr w:type="gramEnd"/>
      <w:r w:rsidRPr="00371DD6">
        <w:rPr>
          <w:rFonts w:eastAsia="Times New Roman"/>
          <w:color w:val="000000"/>
          <w:sz w:val="24"/>
          <w:szCs w:val="24"/>
        </w:rPr>
        <w:t xml:space="preserve"> the requirements of ROM Corp. to prove John Jones’s actions were unpreventable.</w:t>
      </w:r>
    </w:p>
    <w:p w14:paraId="590A3440" w14:textId="77777777" w:rsidR="00B57DA5" w:rsidRPr="00371DD6" w:rsidRDefault="00B57DA5" w:rsidP="00B57DA5">
      <w:pPr>
        <w:spacing w:after="240"/>
        <w:rPr>
          <w:rFonts w:eastAsia="Times New Roman"/>
          <w:color w:val="000000"/>
          <w:sz w:val="24"/>
          <w:szCs w:val="24"/>
        </w:rPr>
      </w:pPr>
      <w:r w:rsidRPr="00371DD6">
        <w:rPr>
          <w:rFonts w:eastAsia="Times New Roman"/>
          <w:color w:val="000000"/>
          <w:sz w:val="24"/>
          <w:szCs w:val="24"/>
        </w:rPr>
        <w:t>For the reasons stated herein, XYZ Corp. submits that the Occupational Safety and Health Review Commission should direct review of the Decision and Order of the Administrative Law Judge.</w:t>
      </w:r>
    </w:p>
    <w:p w14:paraId="77837215" w14:textId="77777777" w:rsidR="00B57DA5" w:rsidRPr="00371DD6" w:rsidRDefault="00B57DA5" w:rsidP="00B57DA5">
      <w:pPr>
        <w:spacing w:after="240"/>
        <w:rPr>
          <w:rFonts w:eastAsia="Times New Roman"/>
          <w:color w:val="000000"/>
          <w:sz w:val="24"/>
          <w:szCs w:val="24"/>
        </w:rPr>
      </w:pPr>
      <w:r w:rsidRPr="00371DD6">
        <w:rPr>
          <w:rFonts w:eastAsia="Times New Roman"/>
          <w:color w:val="000000"/>
          <w:sz w:val="24"/>
          <w:szCs w:val="24"/>
        </w:rPr>
        <w:lastRenderedPageBreak/>
        <w:t>Respectfully submitted,</w:t>
      </w:r>
    </w:p>
    <w:p w14:paraId="288B9C87" w14:textId="115E6B4E" w:rsidR="00C75C4E" w:rsidRPr="00560721" w:rsidRDefault="00B57DA5" w:rsidP="00560721">
      <w:pPr>
        <w:spacing w:after="240"/>
        <w:rPr>
          <w:rFonts w:eastAsia="Times New Roman"/>
          <w:color w:val="000000"/>
          <w:sz w:val="24"/>
          <w:szCs w:val="24"/>
        </w:rPr>
      </w:pPr>
      <w:r w:rsidRPr="00371DD6">
        <w:rPr>
          <w:rFonts w:eastAsia="Times New Roman"/>
          <w:color w:val="000000"/>
          <w:sz w:val="24"/>
          <w:szCs w:val="24"/>
        </w:rPr>
        <w:t>By ________________________</w:t>
      </w:r>
      <w:r w:rsidRPr="00371DD6">
        <w:rPr>
          <w:rFonts w:eastAsia="Times New Roman"/>
          <w:color w:val="000000"/>
          <w:sz w:val="24"/>
          <w:szCs w:val="24"/>
        </w:rPr>
        <w:br/>
        <w:t>Attorney for</w:t>
      </w:r>
      <w:r w:rsidRPr="00371DD6">
        <w:rPr>
          <w:rFonts w:eastAsia="Times New Roman"/>
          <w:color w:val="000000"/>
          <w:sz w:val="24"/>
          <w:szCs w:val="24"/>
        </w:rPr>
        <w:br/>
        <w:t>XYZ Corp.</w:t>
      </w:r>
      <w:r w:rsidRPr="00371DD6">
        <w:rPr>
          <w:rFonts w:eastAsia="Times New Roman"/>
          <w:color w:val="000000"/>
          <w:sz w:val="24"/>
          <w:szCs w:val="24"/>
        </w:rPr>
        <w:br/>
        <w:t>123 Street</w:t>
      </w:r>
      <w:r w:rsidRPr="00371DD6">
        <w:rPr>
          <w:rFonts w:eastAsia="Times New Roman"/>
          <w:color w:val="000000"/>
          <w:sz w:val="24"/>
          <w:szCs w:val="24"/>
        </w:rPr>
        <w:br/>
        <w:t>City, State Zip Code</w:t>
      </w:r>
      <w:r w:rsidRPr="00371DD6">
        <w:rPr>
          <w:rFonts w:eastAsia="Times New Roman"/>
          <w:color w:val="000000"/>
          <w:sz w:val="24"/>
          <w:szCs w:val="24"/>
        </w:rPr>
        <w:br/>
        <w:t>Tel. No. (999) 999-9999</w:t>
      </w:r>
      <w:bookmarkEnd w:id="0"/>
    </w:p>
    <w:sectPr w:rsidR="00C75C4E" w:rsidRPr="00560721" w:rsidSect="00470E5F">
      <w:footerReference w:type="default" r:id="rId6"/>
      <w:footerReference w:type="first" r:id="rId7"/>
      <w:pgSz w:w="12240" w:h="15840"/>
      <w:pgMar w:top="1440" w:right="1440" w:bottom="1440" w:left="1440" w:header="1440" w:footer="14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8722" w14:textId="77777777" w:rsidR="00D45E55" w:rsidRDefault="00D45E55" w:rsidP="00CF25BF">
      <w:r>
        <w:separator/>
      </w:r>
    </w:p>
  </w:endnote>
  <w:endnote w:type="continuationSeparator" w:id="0">
    <w:p w14:paraId="21703DEE" w14:textId="77777777" w:rsidR="00D45E55" w:rsidRDefault="00D45E55" w:rsidP="00CF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433861"/>
      <w:docPartObj>
        <w:docPartGallery w:val="Page Numbers (Bottom of Page)"/>
        <w:docPartUnique/>
      </w:docPartObj>
    </w:sdtPr>
    <w:sdtEndPr>
      <w:rPr>
        <w:noProof/>
      </w:rPr>
    </w:sdtEndPr>
    <w:sdtContent>
      <w:p w14:paraId="54BA5300" w14:textId="77777777" w:rsidR="002A6DFA" w:rsidRDefault="002A6DFA">
        <w:pPr>
          <w:pStyle w:val="Footer"/>
          <w:jc w:val="center"/>
        </w:pPr>
      </w:p>
      <w:p w14:paraId="77CD7630" w14:textId="4EA2C05B" w:rsidR="00A1175F" w:rsidRDefault="00A1175F">
        <w:pPr>
          <w:pStyle w:val="Footer"/>
          <w:jc w:val="center"/>
        </w:pPr>
        <w:r w:rsidRPr="00470E5F">
          <w:rPr>
            <w:sz w:val="24"/>
            <w:szCs w:val="24"/>
          </w:rPr>
          <w:fldChar w:fldCharType="begin"/>
        </w:r>
        <w:r w:rsidRPr="00470E5F">
          <w:rPr>
            <w:sz w:val="24"/>
            <w:szCs w:val="24"/>
          </w:rPr>
          <w:instrText xml:space="preserve"> PAGE   \* MERGEFORMAT </w:instrText>
        </w:r>
        <w:r w:rsidRPr="00470E5F">
          <w:rPr>
            <w:sz w:val="24"/>
            <w:szCs w:val="24"/>
          </w:rPr>
          <w:fldChar w:fldCharType="separate"/>
        </w:r>
        <w:r w:rsidRPr="00470E5F">
          <w:rPr>
            <w:noProof/>
            <w:sz w:val="24"/>
            <w:szCs w:val="24"/>
          </w:rPr>
          <w:t>2</w:t>
        </w:r>
        <w:r w:rsidRPr="00470E5F">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6D9EE" w14:textId="000A83DF" w:rsidR="00A1175F" w:rsidRDefault="00A1175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AE457" w14:textId="77777777" w:rsidR="00D45E55" w:rsidRDefault="00D45E55" w:rsidP="00CF25BF">
      <w:r>
        <w:separator/>
      </w:r>
    </w:p>
  </w:footnote>
  <w:footnote w:type="continuationSeparator" w:id="0">
    <w:p w14:paraId="4AAB1C99" w14:textId="77777777" w:rsidR="00D45E55" w:rsidRDefault="00D45E55" w:rsidP="00CF2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BF"/>
    <w:rsid w:val="00016F91"/>
    <w:rsid w:val="000223B3"/>
    <w:rsid w:val="00064844"/>
    <w:rsid w:val="00115CC8"/>
    <w:rsid w:val="00267496"/>
    <w:rsid w:val="00282E33"/>
    <w:rsid w:val="002A6DFA"/>
    <w:rsid w:val="002B1D5D"/>
    <w:rsid w:val="002F7C03"/>
    <w:rsid w:val="003543CD"/>
    <w:rsid w:val="00461F14"/>
    <w:rsid w:val="00470E5F"/>
    <w:rsid w:val="00560721"/>
    <w:rsid w:val="005856D4"/>
    <w:rsid w:val="005D483E"/>
    <w:rsid w:val="00650FAF"/>
    <w:rsid w:val="00676FEF"/>
    <w:rsid w:val="006812D5"/>
    <w:rsid w:val="00722E6F"/>
    <w:rsid w:val="007436A2"/>
    <w:rsid w:val="00754C93"/>
    <w:rsid w:val="007E0F20"/>
    <w:rsid w:val="007E5C55"/>
    <w:rsid w:val="0083780E"/>
    <w:rsid w:val="00856148"/>
    <w:rsid w:val="00871CE2"/>
    <w:rsid w:val="00873CC7"/>
    <w:rsid w:val="008D7854"/>
    <w:rsid w:val="00A05639"/>
    <w:rsid w:val="00A1175F"/>
    <w:rsid w:val="00A11E05"/>
    <w:rsid w:val="00A81F7E"/>
    <w:rsid w:val="00AA770C"/>
    <w:rsid w:val="00AE3B7B"/>
    <w:rsid w:val="00B57DA5"/>
    <w:rsid w:val="00BE101C"/>
    <w:rsid w:val="00C43581"/>
    <w:rsid w:val="00C47877"/>
    <w:rsid w:val="00C75C4E"/>
    <w:rsid w:val="00C80EBF"/>
    <w:rsid w:val="00CF25BF"/>
    <w:rsid w:val="00D14336"/>
    <w:rsid w:val="00D337E3"/>
    <w:rsid w:val="00D45E55"/>
    <w:rsid w:val="00E274CB"/>
    <w:rsid w:val="00E50E15"/>
    <w:rsid w:val="00EB2FD3"/>
    <w:rsid w:val="00EB4A68"/>
    <w:rsid w:val="00F47FB6"/>
    <w:rsid w:val="00F64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BD27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5BF"/>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5BF"/>
    <w:pPr>
      <w:autoSpaceDE/>
      <w:autoSpaceDN/>
      <w:adjustRightInd/>
      <w:spacing w:after="200" w:line="276" w:lineRule="auto"/>
      <w:ind w:left="720"/>
      <w:contextualSpacing/>
    </w:pPr>
    <w:rPr>
      <w:rFonts w:asciiTheme="minorHAnsi" w:hAnsiTheme="minorHAnsi" w:cstheme="minorBidi"/>
      <w:sz w:val="24"/>
      <w:szCs w:val="24"/>
    </w:rPr>
  </w:style>
  <w:style w:type="paragraph" w:styleId="Footer">
    <w:name w:val="footer"/>
    <w:basedOn w:val="Normal"/>
    <w:link w:val="FooterChar"/>
    <w:uiPriority w:val="99"/>
    <w:unhideWhenUsed/>
    <w:rsid w:val="00CF25BF"/>
    <w:pPr>
      <w:tabs>
        <w:tab w:val="center" w:pos="4680"/>
        <w:tab w:val="right" w:pos="9360"/>
      </w:tabs>
    </w:pPr>
  </w:style>
  <w:style w:type="character" w:customStyle="1" w:styleId="FooterChar">
    <w:name w:val="Footer Char"/>
    <w:basedOn w:val="DefaultParagraphFont"/>
    <w:link w:val="Footer"/>
    <w:uiPriority w:val="99"/>
    <w:rsid w:val="00CF25BF"/>
    <w:rPr>
      <w:rFonts w:ascii="Times New Roman" w:hAnsi="Times New Roman" w:cs="Times New Roman"/>
      <w:sz w:val="20"/>
      <w:szCs w:val="20"/>
    </w:rPr>
  </w:style>
  <w:style w:type="paragraph" w:styleId="FootnoteText">
    <w:name w:val="footnote text"/>
    <w:basedOn w:val="Normal"/>
    <w:link w:val="FootnoteTextChar"/>
    <w:uiPriority w:val="99"/>
    <w:unhideWhenUsed/>
    <w:rsid w:val="00CF25BF"/>
    <w:pPr>
      <w:autoSpaceDE/>
      <w:autoSpaceDN/>
      <w:adjustRightInd/>
    </w:pPr>
    <w:rPr>
      <w:rFonts w:asciiTheme="minorHAnsi" w:hAnsiTheme="minorHAnsi" w:cstheme="minorBidi"/>
    </w:rPr>
  </w:style>
  <w:style w:type="character" w:customStyle="1" w:styleId="FootnoteTextChar">
    <w:name w:val="Footnote Text Char"/>
    <w:basedOn w:val="DefaultParagraphFont"/>
    <w:link w:val="FootnoteText"/>
    <w:uiPriority w:val="99"/>
    <w:rsid w:val="00CF25BF"/>
    <w:rPr>
      <w:sz w:val="20"/>
      <w:szCs w:val="20"/>
    </w:rPr>
  </w:style>
  <w:style w:type="character" w:styleId="FootnoteReference">
    <w:name w:val="footnote reference"/>
    <w:basedOn w:val="DefaultParagraphFont"/>
    <w:uiPriority w:val="99"/>
    <w:semiHidden/>
    <w:unhideWhenUsed/>
    <w:rsid w:val="00CF25BF"/>
    <w:rPr>
      <w:vertAlign w:val="superscript"/>
    </w:rPr>
  </w:style>
  <w:style w:type="paragraph" w:styleId="Header">
    <w:name w:val="header"/>
    <w:basedOn w:val="Normal"/>
    <w:link w:val="HeaderChar"/>
    <w:uiPriority w:val="99"/>
    <w:unhideWhenUsed/>
    <w:rsid w:val="00CF25BF"/>
    <w:pPr>
      <w:tabs>
        <w:tab w:val="center" w:pos="4680"/>
        <w:tab w:val="right" w:pos="9360"/>
      </w:tabs>
    </w:pPr>
  </w:style>
  <w:style w:type="character" w:customStyle="1" w:styleId="HeaderChar">
    <w:name w:val="Header Char"/>
    <w:basedOn w:val="DefaultParagraphFont"/>
    <w:link w:val="Header"/>
    <w:uiPriority w:val="99"/>
    <w:rsid w:val="00CF25BF"/>
    <w:rPr>
      <w:rFonts w:ascii="Times New Roman" w:hAnsi="Times New Roman" w:cs="Times New Roman"/>
      <w:sz w:val="20"/>
      <w:szCs w:val="20"/>
    </w:rPr>
  </w:style>
  <w:style w:type="table" w:styleId="TableGrid">
    <w:name w:val="Table Grid"/>
    <w:basedOn w:val="TableNormal"/>
    <w:uiPriority w:val="39"/>
    <w:rsid w:val="00CF2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483E"/>
    <w:rPr>
      <w:color w:val="0000FF" w:themeColor="hyperlink"/>
      <w:u w:val="single"/>
    </w:rPr>
  </w:style>
  <w:style w:type="character" w:styleId="UnresolvedMention">
    <w:name w:val="Unresolved Mention"/>
    <w:basedOn w:val="DefaultParagraphFont"/>
    <w:uiPriority w:val="99"/>
    <w:semiHidden/>
    <w:unhideWhenUsed/>
    <w:rsid w:val="005D483E"/>
    <w:rPr>
      <w:color w:val="605E5C"/>
      <w:shd w:val="clear" w:color="auto" w:fill="E1DFDD"/>
    </w:rPr>
  </w:style>
  <w:style w:type="character" w:styleId="FollowedHyperlink">
    <w:name w:val="FollowedHyperlink"/>
    <w:basedOn w:val="DefaultParagraphFont"/>
    <w:uiPriority w:val="99"/>
    <w:semiHidden/>
    <w:unhideWhenUsed/>
    <w:rsid w:val="00E274CB"/>
    <w:rPr>
      <w:color w:val="800080" w:themeColor="followedHyperlink"/>
      <w:u w:val="single"/>
    </w:rPr>
  </w:style>
  <w:style w:type="paragraph" w:styleId="BalloonText">
    <w:name w:val="Balloon Text"/>
    <w:basedOn w:val="Normal"/>
    <w:link w:val="BalloonTextChar"/>
    <w:uiPriority w:val="99"/>
    <w:semiHidden/>
    <w:unhideWhenUsed/>
    <w:rsid w:val="00D337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7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99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2019-06-06T19:46:00Z</dcterms:created>
  <dcterms:modified xsi:type="dcterms:W3CDTF">2019-06-06T20:02:00Z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